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版本号：HXTDJC2025145820250711001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2025年西安大交通发布新媒体平台业务运行保障运维项目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HXTDJC20251458</w:t>
      </w:r>
      <w:r>
        <w:br/>
      </w:r>
      <w:r>
        <w:br/>
      </w:r>
      <w:r>
        <w:br/>
      </w:r>
    </w:p>
    <w:p>
      <w:pPr>
        <w:pStyle w:val="null3"/>
        <w:jc w:val="center"/>
        <w:outlineLvl w:val="2"/>
      </w:pPr>
      <w:r>
        <w:rPr>
          <w:rFonts w:ascii="仿宋_GB2312" w:hAnsi="仿宋_GB2312" w:cs="仿宋_GB2312" w:eastAsia="仿宋_GB2312"/>
          <w:sz w:val="28"/>
          <w:b/>
        </w:rPr>
        <w:t>西安市交通信息中心</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西安市交通信息中心</w:t>
      </w:r>
      <w:r>
        <w:rPr>
          <w:rFonts w:ascii="仿宋_GB2312" w:hAnsi="仿宋_GB2312" w:cs="仿宋_GB2312" w:eastAsia="仿宋_GB2312"/>
        </w:rPr>
        <w:t>委托，拟对</w:t>
      </w:r>
      <w:r>
        <w:rPr>
          <w:rFonts w:ascii="仿宋_GB2312" w:hAnsi="仿宋_GB2312" w:cs="仿宋_GB2312" w:eastAsia="仿宋_GB2312"/>
        </w:rPr>
        <w:t>2025年西安大交通发布新媒体平台业务运行保障运维项目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HXTDJC20251458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2025年西安大交通发布新媒体平台业务运行保障运维项目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大交通发布”官方微信公众平台是以西安市城市发展、交通运输行业管理的需求为导向，依托互联网、物联网和智慧交通技术，整合公交、出租、公路客运、地铁、维修、驾培、机场大巴等各类交通信息，向社会公众提供一体化、智能化的全方位交通信息服务，是解决群众出行难、提高交通信息服务水平，提升群众获得感、幸福感的重要途径。“西安大交通发布”微信公众号作为西安市交通运输局对公众提供交通信息服务的重要窗口，目前注册关注人数超110万，为西安市广大市民提供了多种交通信息查询服务，获得了一致的好评。“西安大交通发布”新媒体平台依托“西安大交通发布”微信公众平台，扩展微博、百家号、企鹅号、一点号等有影响力的新媒体平台进行信息发布扩散。该项目包括“西安大交通发布”新媒体平台的日常维护、模块更新、功能升级、数据更新、账号认证等相关工作，保障各功能模块的正常运行，服务期一年（2025年8月10日至2026年8月9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采购包1（2025年西安大交通发布新媒体平台业务运行保障运维项目）：属于专门面向中小企业采购。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021-61177882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方湖、李飞、房亚宁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代理服务费收费标准：中标(或成交)服务费以中标（成交）价为基数，参照《招标代理服务收费管理暂行办法》计价格[2002]1980号文和发改价格[2011]534号文件规定标准收取。由成交方向受托人支付。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西安市交通信息中心</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达到竞争性磋商文件及合同中约定的服务要求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大交通发布”官方微信公众平台是以西安市城市发展、交通运输行业管理的需求为导向，依托互联网、物联网和智慧交通技术，整合公交、出租、公路客运、地铁、维修、驾培、机场大巴等各类交通信息，向社会公众提供一体化、智能化的全方位交通信息服务，是解决群众出行难、提高交通信息服务水平，提升群众获得感、幸福感的重要途径。 “西安大交通发布”微信公众号作为西安市交通运输局对公众提供交通信息服务的重要窗口，目前注册关注人数超110万，为西安市广大市民提供了多种交通信息查询服务，获得了一致的好评。“西安大交通发布”新媒体平台依托“西安大交通发布”微信公众平台，扩展微博、百家号、企鹅号、一点号等有影响力的新媒体平台进行信息发布扩散。 该项目包括“西安大交通发布”新媒体平台的日常维护、模块更新、功能升级、数据更新、账号认证等相关工作，保障各功能模块的正常运行，服务期一年（2025年8月10日至2026年8月9日）。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415,000.00</w:t>
      </w:r>
    </w:p>
    <w:p>
      <w:pPr>
        <w:pStyle w:val="null3"/>
      </w:pPr>
      <w:r>
        <w:rPr>
          <w:rFonts w:ascii="仿宋_GB2312" w:hAnsi="仿宋_GB2312" w:cs="仿宋_GB2312" w:eastAsia="仿宋_GB2312"/>
        </w:rPr>
        <w:t>采购包最高限价（元）: 415,000.00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shd w:fill="FFFFFF" w:val="clear"/>
              </w:rPr>
              <w:t>采购内容：</w:t>
            </w:r>
          </w:p>
          <w:p>
            <w:pPr>
              <w:pStyle w:val="null3"/>
              <w:jc w:val="left"/>
            </w:pPr>
            <w:r>
              <w:rPr>
                <w:rFonts w:ascii="仿宋_GB2312" w:hAnsi="仿宋_GB2312" w:cs="仿宋_GB2312" w:eastAsia="仿宋_GB2312"/>
                <w:sz w:val="21"/>
                <w:shd w:fill="FFFFFF" w:val="clear"/>
              </w:rPr>
              <w:t>提供</w:t>
            </w:r>
            <w:r>
              <w:rPr>
                <w:rFonts w:ascii="仿宋_GB2312" w:hAnsi="仿宋_GB2312" w:cs="仿宋_GB2312" w:eastAsia="仿宋_GB2312"/>
                <w:sz w:val="21"/>
                <w:shd w:fill="FFFFFF" w:val="clear"/>
              </w:rPr>
              <w:t>“西安大交通发布”新媒体平台的软件运行维护服务，主要包括以下几个方面：</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1）做好新媒体平台的日常运行维护工作，保障各功能模块的正常运行，维护好相关的软硬件资源，做到每日不定时监控，发现问题时，及时进行处理。</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2）做好现有各功能模块的数据信息更新维护工作，并负责接入和更新维护各项新数据。</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3）提供“西安大交通发布”新媒体平台的功能调整与完善服务,根据业务需求，对各功能模块进行更新调整、版本升级。</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4）及时</w:t>
            </w:r>
            <w:r>
              <w:rPr>
                <w:rFonts w:ascii="仿宋_GB2312" w:hAnsi="仿宋_GB2312" w:cs="仿宋_GB2312" w:eastAsia="仿宋_GB2312"/>
                <w:sz w:val="21"/>
                <w:shd w:fill="FFFFFF" w:val="clear"/>
              </w:rPr>
              <w:t>协助采购方</w:t>
            </w:r>
            <w:r>
              <w:rPr>
                <w:rFonts w:ascii="仿宋_GB2312" w:hAnsi="仿宋_GB2312" w:cs="仿宋_GB2312" w:eastAsia="仿宋_GB2312"/>
                <w:sz w:val="21"/>
                <w:shd w:fill="FFFFFF" w:val="clear"/>
              </w:rPr>
              <w:t>进行</w:t>
            </w:r>
            <w:r>
              <w:rPr>
                <w:rFonts w:ascii="仿宋_GB2312" w:hAnsi="仿宋_GB2312" w:cs="仿宋_GB2312" w:eastAsia="仿宋_GB2312"/>
                <w:sz w:val="21"/>
                <w:shd w:fill="FFFFFF" w:val="clear"/>
              </w:rPr>
              <w:t>“西安大交通发布”新媒体平台的账号认证备案、SSL证书更新等工作,确保</w:t>
            </w:r>
            <w:r>
              <w:rPr>
                <w:rFonts w:ascii="仿宋_GB2312" w:hAnsi="仿宋_GB2312" w:cs="仿宋_GB2312" w:eastAsia="仿宋_GB2312"/>
                <w:sz w:val="21"/>
                <w:shd w:fill="FFFFFF" w:val="clear"/>
              </w:rPr>
              <w:t>微信</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微博</w:t>
            </w:r>
            <w:r>
              <w:rPr>
                <w:rFonts w:ascii="仿宋_GB2312" w:hAnsi="仿宋_GB2312" w:cs="仿宋_GB2312" w:eastAsia="仿宋_GB2312"/>
                <w:sz w:val="21"/>
                <w:shd w:fill="FFFFFF" w:val="clear"/>
              </w:rPr>
              <w:t>等</w:t>
            </w:r>
            <w:r>
              <w:rPr>
                <w:rFonts w:ascii="仿宋_GB2312" w:hAnsi="仿宋_GB2312" w:cs="仿宋_GB2312" w:eastAsia="仿宋_GB2312"/>
                <w:sz w:val="21"/>
                <w:shd w:fill="FFFFFF" w:val="clear"/>
              </w:rPr>
              <w:t>平台业务正常运行。</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5）提供“西安大交通发布”新媒体平台系统安全保障服务，定期排查系统安全漏洞，升级操作系统、数据库等支撑系统漏洞，确保系统安全运行及使用。</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提供“西安大交通发布”新媒体平台数据备份与恢复服务，定期对“西安大交通发布”新媒体平台各项业务数据进行备份，当数据遭到破坏或丢失时，能够第一时间将数据进行恢复，确保各项业务数据的完整性。</w:t>
            </w:r>
          </w:p>
          <w:p>
            <w:pPr>
              <w:pStyle w:val="null3"/>
              <w:jc w:val="left"/>
            </w:pPr>
            <w:r>
              <w:rPr>
                <w:rFonts w:ascii="仿宋_GB2312" w:hAnsi="仿宋_GB2312" w:cs="仿宋_GB2312" w:eastAsia="仿宋_GB2312"/>
                <w:sz w:val="21"/>
                <w:b/>
                <w:shd w:fill="FFFFFF" w:val="clear"/>
              </w:rPr>
              <w:t>服务要求：</w:t>
            </w:r>
          </w:p>
          <w:p>
            <w:pPr>
              <w:pStyle w:val="null3"/>
              <w:jc w:val="left"/>
            </w:pPr>
            <w:r>
              <w:rPr>
                <w:rFonts w:ascii="仿宋_GB2312" w:hAnsi="仿宋_GB2312" w:cs="仿宋_GB2312" w:eastAsia="仿宋_GB2312"/>
                <w:sz w:val="21"/>
                <w:shd w:fill="FFFFFF" w:val="clear"/>
              </w:rPr>
              <w:t>1、保证全年365天24小时提供紧急运行维护服务。</w:t>
            </w:r>
          </w:p>
          <w:p>
            <w:pPr>
              <w:pStyle w:val="null3"/>
              <w:jc w:val="left"/>
            </w:pPr>
            <w:r>
              <w:rPr>
                <w:rFonts w:ascii="仿宋_GB2312" w:hAnsi="仿宋_GB2312" w:cs="仿宋_GB2312" w:eastAsia="仿宋_GB2312"/>
                <w:sz w:val="21"/>
                <w:shd w:fill="FFFFFF" w:val="clear"/>
              </w:rPr>
              <w:t>2、保证平台运行的安全稳定，除不可抗力外，全年运行时间大于99%，故障次数不超过3次。</w:t>
            </w:r>
          </w:p>
          <w:p>
            <w:pPr>
              <w:pStyle w:val="null3"/>
              <w:jc w:val="both"/>
            </w:pPr>
            <w:r>
              <w:rPr>
                <w:rFonts w:ascii="仿宋_GB2312" w:hAnsi="仿宋_GB2312" w:cs="仿宋_GB2312" w:eastAsia="仿宋_GB2312"/>
                <w:sz w:val="21"/>
              </w:rPr>
              <w:t>3、根据工作需要，采购人有权要求成交供应商随时汇报工作情况。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配置人员数量应保证全年365天24小时提供紧急运行维护服务。保证平台运行的安全稳定，全年运行时间大于99%。除不可抗力外，故障次数不超过3次。完成项目配套所需的账号认证等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1、本项目不接受联合体投标； 2、合同总价包含维护开发费、人员工资、账号认证备案费及其他相关费用，均由成交供应商支付。 3、合同总价一次性包死，不受市场价格变化因素的影响。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一年（2025年8月10日至2026年8月9日）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西安市交通信息中心指定地点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（一）服务内容完成后先由乙方进行自检，自检合格后邀请甲方进行验收。甲方确认乙方的自检内容后，组织专家进行评审验收，验收时乙方应派员参加，共同对验收结果进行确认，并承担相关责任。 （二）乙方向甲方提交服务实施过程中的所有资料。以便甲方日后管理和维护。 （三）验收依据： 1.磋商文件、响应文件、澄清表（函）（如有）； 2.本合同及附件文本； 3.国家相应的标准、规范。 （四）双方拟定的其他条款。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2025年10月份，通过甲方服务质量阶段性考核后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2026年财政拨付项目尾款预算并通过甲方服务质量阶段性考核后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2026年财政拨付项目尾款预算且项目履约验收合格后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违约责任依据《中华人民共和国民法典》、《中华人民共和国政府采购法》、《中华人民共和国政府采购法实施条例》等相关条款执行。 合同执行中发生争议的，当事人双方应协商解决。协商达不成一致时，可向甲方（采购人）所在地人民法院提起诉讼。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成交供应商在成交后需按照采购人要求提供一正一副纸质版磋商响应文件且应与电子版磋商响应文件保持一致。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有效的法人或者其他组织的营业执照等证明文件，自然人的身份证明；2.财务状况：提供上一年度的经审计的财务报表或本年度基本开户银行出具的资信证明；3.提供可充分满足履行合同所需设备和专业技术能力的证明材料或承诺；4.提供近六个月中任何一个月的缴纳增值税和企业所得税的凭证（银行出具的缴税凭证或税务机关出具的证明的复印件，并加盖本单位公章）或免税证明（加盖公章）；5.提供近六个月中任何一个月的社会保障资金缴纳记录（专用收据或社会保险缴纳清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提供上一年度的经审计的财务报表或本年度基本开户银行出具的资信证明。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项目理解及工作思路</w:t>
            </w:r>
          </w:p>
        </w:tc>
        <w:tc>
          <w:tcPr>
            <w:tcW w:type="dxa" w:w="2492"/>
          </w:tcPr>
          <w:p>
            <w:pPr>
              <w:pStyle w:val="null3"/>
            </w:pPr>
            <w:r>
              <w:rPr>
                <w:rFonts w:ascii="仿宋_GB2312" w:hAnsi="仿宋_GB2312" w:cs="仿宋_GB2312" w:eastAsia="仿宋_GB2312"/>
              </w:rPr>
              <w:t>对本项目要求理解程度和针对本项目的工作思路和方向进行评审。 根据理解准确性、全面性、透彻性进行综合赋分[0-5］分。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1、日常运行维护工作方案，按其内容全面性、科学合理性得[0-5］分。 2、数据信息更新维护工作方案，按其内容全面性、科学合理性得[0-5］分。 3、模块更新调整、版本升级工作方案，按其内容全面性、科学合理性得[0-5］分。 4、账号认证备案、SSL证书更新等工作方案，按其内容全面性、科学合理性得[0-5］分。 5、系统安全保障工作方案，按其内容全面性、科学合理性得[0-5］分。 6、数据备份与恢复工作方案，按其内容全面性、科学合理性得[0-5］分。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磋商小组根据供应商提供的项目实施周期和进度计划表，明确性、合理性进行综合赋分[0-5］分。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有详细的服务质量保障措施，在采购人规定的时间内高质量完成服务，保证平台运行的安全稳定，除不可抗力外，全年运行时间大于99%，故障次数不超过3次。措施方案合理、完善的赋（7-10］分，措施方案较为合理、完善赋（4-7］分，措施方案较差、一般赋（0-4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详细的人员配置方案，针对本项目拟投入的工作人员配备的情况，提供有专门的项目负责人，团队人员具备相应的实施经验，组织结构合理且人员分工明确、职责清晰、任务具体得（7-10］分；有详细的人员配置方案，组织机构及工作安排基本完善、合理，岗位分工明确得（4-7］分；有详细的人员配置方案，组织机构及工作安排合理性差，岗位分工不明确，得（0-4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具有良好的服务能力，保证全年365天24小时提供紧急运行维护服务。（包括但不限于售后服务人员配备、响应时间、响应程度、解决问题能力、紧急故障处理预案等）进行综合评价。 服务方案齐全合理、可操作性强；（7-10］分； 服务方案基本满足项目需求；（3-7］分； 服务方案不完整或合理性低（0-3］分；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针对可能出现的问题及突发事件，有具体可行的应急措施和解决方案，内容包括但不限于运维响应时间、定期巡查、应急解决方案、服务监督管理机制、服务承诺等。根据响应程度计[0-5］分。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具有科学、合理、可行的保密措施，保证采购人的涉密信息不被泄漏，根据保密措施完整、合理，可操作性进行综合赋分[0-5］分。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针对本项目的重点、难点及可能出现的遗留问题提出整改意见及合理化建议，根据其建议详细全面性进行综合赋分[0-5］分。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供应商提供（2022年1月1日至今）类似软件运维类项目业绩，每提供1个得2.5分，最高得5分；业绩证明（以合同或中标通知书为准，须在文件中附合同的扫描件加盖单位公章。）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满足磋商文件要求且投标价格最低的响应报价为评标基准价，其价格分为满分10分。其他供应商的价格分统一按照下列公式计算：投标报价得分=（评标基准价/投标报价）×价格权值×100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