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版本号：SXDZ2025-ZC-DY02220250714001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生态治理联席办（原生态办）办公场所租赁项目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SXDZ2025-ZC-DY022</w:t>
      </w:r>
      <w:r>
        <w:br/>
      </w:r>
      <w:r>
        <w:br/>
      </w:r>
      <w:r>
        <w:br/>
      </w:r>
    </w:p>
    <w:p>
      <w:pPr>
        <w:pStyle w:val="null3"/>
        <w:jc w:val="center"/>
        <w:outlineLvl w:val="5"/>
      </w:pPr>
      <w:r>
        <w:rPr>
          <w:rFonts w:ascii="仿宋_GB2312" w:hAnsi="仿宋_GB2312" w:cs="仿宋_GB2312" w:eastAsia="仿宋_GB2312"/>
          <w:sz w:val="15"/>
          <w:b/>
        </w:rPr>
        <w:t>西安市生态环境局新城分局</w:t>
      </w:r>
    </w:p>
    <w:p>
      <w:pPr>
        <w:pStyle w:val="null3"/>
        <w:jc w:val="center"/>
        <w:outlineLvl w:val="5"/>
      </w:pPr>
      <w:r>
        <w:rPr>
          <w:rFonts w:ascii="仿宋_GB2312" w:hAnsi="仿宋_GB2312" w:cs="仿宋_GB2312" w:eastAsia="仿宋_GB2312"/>
          <w:sz w:val="15"/>
          <w:b/>
        </w:rPr>
        <w:t>陕西东卓项目管理有限公司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西安市生态环境局新城分局</w:t>
      </w:r>
      <w:r>
        <w:rPr>
          <w:rFonts w:ascii="仿宋_GB2312" w:hAnsi="仿宋_GB2312" w:cs="仿宋_GB2312" w:eastAsia="仿宋_GB2312"/>
        </w:rPr>
        <w:t>委托，拟对</w:t>
      </w:r>
      <w:r>
        <w:rPr>
          <w:rFonts w:ascii="仿宋_GB2312" w:hAnsi="仿宋_GB2312" w:cs="仿宋_GB2312" w:eastAsia="仿宋_GB2312"/>
        </w:rPr>
        <w:t>生态治理联席办（原生态办）办公场所租赁项目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SXDZ2025-ZC-DY022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生态治理联席办（原生态办）办公场所租赁项目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租赁500平方米作为生态治理联席办办公场所，满足日常办公需求。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采购包1（生态治理联席办（原生态办）办公场所租赁项目）：属于专门面向中小企业采购。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1、统一社会信用代码的营业执照 ：提供合格有效的法人或者其他组织的营业执照等证明文件，自然人的身份证明；供应商是法人或其他组织的应提供营业执照等证明文件，供应商是自然人的应提供有效的自然人身份证明。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2023年度或2024年度经审计的财务报告（成立时间至响应文件递交截止时间不足一年的可提供成立后任意时段的资产负债表），或提供响应文件递交截止日前三个月内其基本存款账户开户银行出具的资信证明。</w:t>
      </w:r>
    </w:p>
    <w:p>
      <w:pPr>
        <w:pStyle w:val="null3"/>
      </w:pPr>
      <w:r>
        <w:rPr>
          <w:rFonts w:ascii="仿宋_GB2312" w:hAnsi="仿宋_GB2312" w:cs="仿宋_GB2312" w:eastAsia="仿宋_GB2312"/>
        </w:rPr>
        <w:t>3、具备履行合同所必需的设备和专业 技术能力：提供具有履行合同所必需的设备和专业技术能力的承诺，</w:t>
      </w:r>
    </w:p>
    <w:p>
      <w:pPr>
        <w:pStyle w:val="null3"/>
      </w:pPr>
      <w:r>
        <w:rPr>
          <w:rFonts w:ascii="仿宋_GB2312" w:hAnsi="仿宋_GB2312" w:cs="仿宋_GB2312" w:eastAsia="仿宋_GB2312"/>
        </w:rPr>
        <w:t>4、依法缴纳税收的相关材料 ：提供磋商截止日前一年内已缴纳的至少一个月的纳税证明或完税证明，依法免税的单位应提供相关证明材料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5、社会保障资金的相关材料 ：提供磋商截止日前一年内已缴存的至少一个月的社会保障资金缴存单据或社保机构开具的社会保险参保缴费情况证明，依法不需要缴纳社会保障资金的单位应提供相关证明材料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 参加政府采购活动前3年内，在经营活动中没有重大违法记录的书面声明</w:t>
      </w:r>
    </w:p>
    <w:p>
      <w:pPr>
        <w:pStyle w:val="null3"/>
      </w:pPr>
      <w:r>
        <w:rPr>
          <w:rFonts w:ascii="仿宋_GB2312" w:hAnsi="仿宋_GB2312" w:cs="仿宋_GB2312" w:eastAsia="仿宋_GB2312"/>
        </w:rPr>
        <w:t>7、法定代表人授权书 ：法定代表人授权书（附法定代表人、被授权人身份证复印件）及被授权人身份证（法定代表人直接参加投标，须提供法定代表人身份证明及身份证原件）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8、信用记录 ：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p>
      <w:pPr>
        <w:pStyle w:val="null3"/>
      </w:pPr>
      <w:r>
        <w:rPr>
          <w:rFonts w:ascii="仿宋_GB2312" w:hAnsi="仿宋_GB2312" w:cs="仿宋_GB2312" w:eastAsia="仿宋_GB2312"/>
        </w:rPr>
        <w:t>9、本项目不接受联合体投标 ：本项目不接受联合体投标（提供书面承诺，加盖供应商公章）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西安市生态环境局新城分局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西安市环境保护局新城分局经办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13363937570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西安市莲湖区大兴东路御笔城市广场2号电梯408室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单个项目按照标准收取不足8000元的，按8000元计取。） 成交供应商在领取成交通知书前，须向采购代理机构一次性支付招标代理服务费。 接收代理服务费账户名称：陕西东卓项目管理有限公司 开户银行：中国银行股份有限公司西安市经济技术开发区支行 账 号：102494375315 转账事由：（项目名称 ）代理服务费 咨询电话：029-86637322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西安市生态环境局新城分局</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西安市生态环境局新城分局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租赁500平方米作为生态治理联席办办公场所，满足日常办公需求。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生态治理联席办（原生态办）办公场所租赁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标的名称：生态治理联席办（原生态办）办公场所租赁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因工作需要，现租赁西安市新城区长兴路</w:t>
            </w:r>
            <w:r>
              <w:rPr>
                <w:rFonts w:ascii="仿宋_GB2312" w:hAnsi="仿宋_GB2312" w:cs="仿宋_GB2312" w:eastAsia="仿宋_GB2312"/>
                <w:sz w:val="24"/>
              </w:rPr>
              <w:t>19号长兴坊住宅小区商业街2层商业楼（以下简称“该商铺”）东侧500平方米用于日常办公。</w:t>
            </w:r>
          </w:p>
          <w:p>
            <w:pPr>
              <w:pStyle w:val="null3"/>
              <w:ind w:left="420"/>
              <w:jc w:val="both"/>
            </w:pPr>
            <w:r>
              <w:rPr>
                <w:rFonts w:ascii="仿宋_GB2312" w:hAnsi="仿宋_GB2312" w:cs="仿宋_GB2312" w:eastAsia="仿宋_GB2312"/>
                <w:sz w:val="24"/>
                <w:b/>
              </w:rPr>
              <w:t>二、服务内容（包括工作区域、工作内容等）</w:t>
            </w:r>
          </w:p>
          <w:p>
            <w:pPr>
              <w:pStyle w:val="null3"/>
              <w:ind w:firstLine="480"/>
              <w:jc w:val="left"/>
            </w:pPr>
            <w:r>
              <w:rPr>
                <w:rFonts w:ascii="仿宋_GB2312" w:hAnsi="仿宋_GB2312" w:cs="仿宋_GB2312" w:eastAsia="仿宋_GB2312"/>
                <w:sz w:val="24"/>
              </w:rPr>
              <w:t>1、该商铺主要用于办公，根据用途及实际需要，按照西安市生态环境局新城分局确认的装修设计、施工图纸及预算，完成基础装饰装修工作。</w:t>
            </w:r>
          </w:p>
          <w:p>
            <w:pPr>
              <w:pStyle w:val="null3"/>
              <w:ind w:firstLine="480"/>
              <w:jc w:val="left"/>
            </w:pPr>
            <w:r>
              <w:rPr>
                <w:rFonts w:ascii="仿宋_GB2312" w:hAnsi="仿宋_GB2312" w:cs="仿宋_GB2312" w:eastAsia="仿宋_GB2312"/>
                <w:sz w:val="24"/>
              </w:rPr>
              <w:t>2、提供办公场所的正常使用，提供正常的物业服务，确保供水、供电、电梯等正常保障、设施完好。</w:t>
            </w:r>
          </w:p>
          <w:p>
            <w:pPr>
              <w:pStyle w:val="null3"/>
              <w:ind w:firstLine="480"/>
              <w:jc w:val="left"/>
            </w:pPr>
            <w:r>
              <w:rPr>
                <w:rFonts w:ascii="仿宋_GB2312" w:hAnsi="仿宋_GB2312" w:cs="仿宋_GB2312" w:eastAsia="仿宋_GB2312"/>
                <w:sz w:val="24"/>
              </w:rPr>
              <w:t>3、提供免费使用车位6个。</w:t>
            </w:r>
          </w:p>
          <w:p>
            <w:pPr>
              <w:pStyle w:val="null3"/>
              <w:jc w:val="both"/>
            </w:pPr>
            <w:r>
              <w:rPr>
                <w:rFonts w:ascii="仿宋_GB2312" w:hAnsi="仿宋_GB2312" w:cs="仿宋_GB2312" w:eastAsia="仿宋_GB2312"/>
                <w:sz w:val="24"/>
                <w:b/>
              </w:rPr>
              <w:t>三、商务要求</w:t>
            </w:r>
          </w:p>
          <w:p>
            <w:pPr>
              <w:pStyle w:val="null3"/>
              <w:ind w:firstLine="480"/>
              <w:jc w:val="left"/>
            </w:pPr>
            <w:r>
              <w:rPr>
                <w:rFonts w:ascii="仿宋_GB2312" w:hAnsi="仿宋_GB2312" w:cs="仿宋_GB2312" w:eastAsia="仿宋_GB2312"/>
                <w:sz w:val="24"/>
              </w:rPr>
              <w:t xml:space="preserve"> (1)服务期限：一年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2）租赁地点：新城区长兴路19号二层商铺东侧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3）交付期：完成基础装修并验收合格后。</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4）付款方式：对公银行转账，自合同签订之日起三十日内一次性支付年租金。</w:t>
            </w:r>
          </w:p>
          <w:p>
            <w:pPr>
              <w:pStyle w:val="null3"/>
              <w:ind w:firstLine="480"/>
              <w:jc w:val="left"/>
            </w:pPr>
            <w:r>
              <w:rPr>
                <w:rFonts w:ascii="仿宋_GB2312" w:hAnsi="仿宋_GB2312" w:cs="仿宋_GB2312" w:eastAsia="仿宋_GB2312"/>
                <w:sz w:val="24"/>
              </w:rPr>
              <w:t>在合同执行过程中需要服务商应执行的相关服务标准和应当履行的相关义务。</w:t>
            </w:r>
          </w:p>
          <w:p>
            <w:pPr>
              <w:pStyle w:val="null3"/>
              <w:ind w:firstLine="48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新城区长兴路19号二层商铺东侧</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合同双方的权利和义务对等，如一方违约，另一方有权按约定条款追究责任并终止合同，由此造成的经济损失由违约方承担。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为保证项目备案顺利，成交供应商在领取纸质版成交通知书时，需提供纸质版响应文件一正两副，电子版响应文件一份。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统一社会信用代码的营业执照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提供2023年度或2024年度经审计的财务报告（成立时间至响应文件递交截止时间不足一年的可提供成立后任意时段的资产负债表），或提供响应文件递交截止日前三个月内其基本存款账户开户银行出具的资信证明。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 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社会保障资金的相关材料</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 xml:space="preserve"> 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需提供相关证明资料，提供信用中国网及中国政府采购网相应查询结果网页截图加盖供应商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本项目为专门面向中小企业采购项目</w:t>
            </w:r>
          </w:p>
        </w:tc>
        <w:tc>
          <w:tcPr>
            <w:tcW w:type="dxa" w:w="3322"/>
          </w:tcPr>
          <w:p>
            <w:pPr>
              <w:pStyle w:val="null3"/>
            </w:pPr>
            <w:r>
              <w:rPr>
                <w:rFonts w:ascii="仿宋_GB2312" w:hAnsi="仿宋_GB2312" w:cs="仿宋_GB2312" w:eastAsia="仿宋_GB2312"/>
              </w:rPr>
              <w:t>本项目为专门面向中小企业采购项目。（供应商须提供中小企业声明函，加盖供应商公章）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单一来源响应文件的完整性</w:t>
            </w:r>
          </w:p>
        </w:tc>
        <w:tc>
          <w:tcPr>
            <w:tcW w:type="dxa" w:w="3322"/>
          </w:tcPr>
          <w:p>
            <w:pPr>
              <w:pStyle w:val="null3"/>
            </w:pPr>
            <w:r>
              <w:rPr>
                <w:rFonts w:ascii="仿宋_GB2312" w:hAnsi="仿宋_GB2312" w:cs="仿宋_GB2312" w:eastAsia="仿宋_GB2312"/>
              </w:rPr>
              <w:t>单一来源响应文件的完整性（单一来源文件内 容齐全、格式完整）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单一来源响应文件的有效性</w:t>
            </w:r>
          </w:p>
        </w:tc>
        <w:tc>
          <w:tcPr>
            <w:tcW w:type="dxa" w:w="3322"/>
          </w:tcPr>
          <w:p>
            <w:pPr>
              <w:pStyle w:val="null3"/>
            </w:pPr>
            <w:r>
              <w:rPr>
                <w:rFonts w:ascii="仿宋_GB2312" w:hAnsi="仿宋_GB2312" w:cs="仿宋_GB2312" w:eastAsia="仿宋_GB2312"/>
              </w:rPr>
              <w:t>单一来源响应文件的有效性（签字、时间、盖 章等）</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投标有效期符合采购文件的要求：投标截止之 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单一来源响应文件的响应性</w:t>
            </w:r>
          </w:p>
        </w:tc>
        <w:tc>
          <w:tcPr>
            <w:tcW w:type="dxa" w:w="3322"/>
          </w:tcPr>
          <w:p>
            <w:pPr>
              <w:pStyle w:val="null3"/>
            </w:pPr>
            <w:r>
              <w:rPr>
                <w:rFonts w:ascii="仿宋_GB2312" w:hAnsi="仿宋_GB2312" w:cs="仿宋_GB2312" w:eastAsia="仿宋_GB2312"/>
              </w:rPr>
              <w:t>单一来源响应文件的响应性（是否存在实质性 偏离、缺项、漏项等）</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供应商拒绝政府采购领域商业贿赂承诺书.docx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响应报价不得超过采购预算</w:t>
            </w:r>
          </w:p>
        </w:tc>
        <w:tc>
          <w:tcPr>
            <w:tcW w:type="dxa" w:w="3322"/>
          </w:tcPr>
          <w:p>
            <w:pPr>
              <w:pStyle w:val="null3"/>
            </w:pPr>
            <w:r>
              <w:rPr>
                <w:rFonts w:ascii="仿宋_GB2312" w:hAnsi="仿宋_GB2312" w:cs="仿宋_GB2312" w:eastAsia="仿宋_GB2312"/>
              </w:rPr>
              <w:t>响应报价不得超过采购预算</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