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版本号：LZBC2025-1126.20250711001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西安文理学院关中书院大型关学文化和书院历史展陈施工项目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LZBC2025-1126.</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西安文理学院关中书院大型关学文化和书院历史展陈施工项目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LZBC2025-1126.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西安文理学院关中书院大型关学文化和书院历史展陈施工项目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展陈空间的施工（包括基础装饰装修、展柜展台、多媒体、艺术场景、专业灯光、美工布展）；户外展示的标识导览制作。要求用多种手段展示关学文化脉络和价值阐释、关中书院历史文化价值展示以及关学和书院文物古籍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w:t>
      </w:r>
    </w:p>
    <w:p>
      <w:pPr>
        <w:pStyle w:val="null3"/>
      </w:pPr>
      <w:r>
        <w:rPr>
          <w:rFonts w:ascii="仿宋_GB2312" w:hAnsi="仿宋_GB2312" w:cs="仿宋_GB2312" w:eastAsia="仿宋_GB2312"/>
        </w:rPr>
        <w:t>2、供应商须具备建筑装修装饰工程专业承包二级及以上（含二级）资质，以及合法有效的安全生产许可证；，供应商需在项目电子化交易系统中按要求上传相应证明文件：供应商须具备建筑装修装饰工程专业承包二级及以上（含二级）资质，以及合法有效的安全生产许可证；，供应商需在项目电子化交易系统中按要求上传相应证明文件</w:t>
      </w:r>
    </w:p>
    <w:p>
      <w:pPr>
        <w:pStyle w:val="null3"/>
      </w:pPr>
      <w:r>
        <w:rPr>
          <w:rFonts w:ascii="仿宋_GB2312" w:hAnsi="仿宋_GB2312" w:cs="仿宋_GB2312" w:eastAsia="仿宋_GB2312"/>
        </w:rPr>
        <w:t>3、拟派项目负责人资质和专业要求。：拟派项目负责人具备建筑工程专业贰级及以上建造师注册证书，具备有效的安全生产考核合格B证， 在本单位注册且无在建项目，供应商需在项目电子化交易系统中按要求上传相应证明文件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 明； 其中：重大违法记录是指供应商因违法经营受到刑事处罚或者责令停产停业、吊销许可证或者执照 、较大数额罚款等行政处罚：参加政府采购活动前3年内在经营活动中没有重大违法记录的书面声明：参加政府采购活动前3年内在经营活动中没有重大违法记录的书面声明，其中：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6、财务状况报告：财务状况报告：供应商2024年经审计的财务报告（事业法人可提供部门决算报告）或基本开户银行出具的资信证明或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信用要求：不得为“信用中国”网站（www.creditchina.gov.cn）中列入失信被执行人和重大税收违法失信主体的供应商，不得为中国政府采购网（www.ccgp.gov.cn）政府采购严重违法失信行为记录名单中被财政部门禁止参加政府采购活动的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采购包1：1,870,251.83元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代理服务费收费标准：1、本项目采购代理服务费以成交价作为收费基数，参照计价格[2002]1 980号、发改价格[2011]534号、发改办价格〔2003〕857号中工程类执行。 2、成交单位在领取成交通知书之前，须向采购代理机构支付招标代理服务费。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按照相关规定执行 一、交付竣工验收的工程，必须符合规定的工程质量标准，有完整的工程技术经济资料和经签署的工程保修书，并具备国家规定的其他竣工条件。 工程竣工经验收合格后，方可交付使用；未经验收或者验收不合格的，不得交付使用 二、验收结果合格的，采购人应向成交供应商出具履约验收报告，成交供应商凭验收报告办理相关手续。 三、验收结果不合格的，履约保证金将不予退还，给采购人造成的损失超过履约保证金数额的，还应当对超过部分予以赔偿；没有提交履约保证金的，应当对采购人的损失承担赔偿责任。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1,870,251.83</w:t>
      </w:r>
    </w:p>
    <w:p>
      <w:pPr>
        <w:pStyle w:val="null3"/>
      </w:pPr>
      <w:r>
        <w:rPr>
          <w:rFonts w:ascii="仿宋_GB2312" w:hAnsi="仿宋_GB2312" w:cs="仿宋_GB2312" w:eastAsia="仿宋_GB2312"/>
        </w:rPr>
        <w:t>采购包最高限价（元）: 1,870,251.83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关中书院大型关学文化和书院历史展陈施工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1,870,251.83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标的名称：关中书院大型关学文化和书院历史展陈施工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一、项目名称：关中书院大型关学文化和书院历史展陈施工项目</w:t>
            </w:r>
          </w:p>
          <w:p>
            <w:pPr>
              <w:pStyle w:val="null3"/>
              <w:jc w:val="both"/>
            </w:pPr>
            <w:r>
              <w:rPr>
                <w:rFonts w:ascii="仿宋_GB2312" w:hAnsi="仿宋_GB2312" w:cs="仿宋_GB2312" w:eastAsia="仿宋_GB2312"/>
              </w:rPr>
              <w:t>二、项目地址：陕西省西安市雁塔区科技六路</w:t>
            </w:r>
            <w:r>
              <w:rPr>
                <w:rFonts w:ascii="仿宋_GB2312" w:hAnsi="仿宋_GB2312" w:cs="仿宋_GB2312" w:eastAsia="仿宋_GB2312"/>
              </w:rPr>
              <w:t>1</w:t>
            </w:r>
            <w:r>
              <w:rPr>
                <w:rFonts w:ascii="仿宋_GB2312" w:hAnsi="仿宋_GB2312" w:cs="仿宋_GB2312" w:eastAsia="仿宋_GB2312"/>
              </w:rPr>
              <w:t>号西安文理学院</w:t>
            </w:r>
          </w:p>
          <w:p>
            <w:pPr>
              <w:pStyle w:val="null3"/>
              <w:jc w:val="both"/>
            </w:pPr>
            <w:r>
              <w:rPr>
                <w:rFonts w:ascii="仿宋_GB2312" w:hAnsi="仿宋_GB2312" w:cs="仿宋_GB2312" w:eastAsia="仿宋_GB2312"/>
              </w:rPr>
              <w:t>三、招标范围</w:t>
            </w:r>
          </w:p>
          <w:p>
            <w:pPr>
              <w:pStyle w:val="null3"/>
              <w:ind w:firstLine="400"/>
              <w:jc w:val="both"/>
            </w:pPr>
            <w:r>
              <w:rPr>
                <w:rFonts w:ascii="仿宋_GB2312" w:hAnsi="仿宋_GB2312" w:cs="仿宋_GB2312" w:eastAsia="仿宋_GB2312"/>
              </w:rPr>
              <w:t>展陈空间及户外展览的设计；展陈空间的施工（包括基础装饰装修、展柜展台、多媒体、艺术场景、专业灯光、美工布展）；户外展示的标识导览制作。要求用多种手段展示关学文化脉络和价值阐释、关中书院历史文化价值展示以及关学和书院文物古籍等。</w:t>
            </w:r>
          </w:p>
          <w:p>
            <w:pPr>
              <w:pStyle w:val="null3"/>
              <w:jc w:val="both"/>
            </w:pPr>
            <w:r>
              <w:rPr>
                <w:rFonts w:ascii="仿宋_GB2312" w:hAnsi="仿宋_GB2312" w:cs="仿宋_GB2312" w:eastAsia="仿宋_GB2312"/>
              </w:rPr>
              <w:t>四、项目面积：</w:t>
            </w:r>
            <w:r>
              <w:rPr>
                <w:rFonts w:ascii="仿宋_GB2312" w:hAnsi="仿宋_GB2312" w:cs="仿宋_GB2312" w:eastAsia="仿宋_GB2312"/>
              </w:rPr>
              <w:t>455</w:t>
            </w:r>
            <w:r>
              <w:rPr>
                <w:rFonts w:ascii="仿宋_GB2312" w:hAnsi="仿宋_GB2312" w:cs="仿宋_GB2312" w:eastAsia="仿宋_GB2312"/>
              </w:rPr>
              <w:t>平方米</w:t>
            </w:r>
          </w:p>
          <w:p>
            <w:pPr>
              <w:pStyle w:val="null3"/>
              <w:jc w:val="both"/>
            </w:pPr>
            <w:r>
              <w:rPr>
                <w:rFonts w:ascii="仿宋_GB2312" w:hAnsi="仿宋_GB2312" w:cs="仿宋_GB2312" w:eastAsia="仿宋_GB2312"/>
              </w:rPr>
              <w:t>五、工期：自合同签订起</w:t>
            </w:r>
            <w:r>
              <w:rPr>
                <w:rFonts w:ascii="仿宋_GB2312" w:hAnsi="仿宋_GB2312" w:cs="仿宋_GB2312" w:eastAsia="仿宋_GB2312"/>
              </w:rPr>
              <w:t>60</w:t>
            </w:r>
            <w:r>
              <w:rPr>
                <w:rFonts w:ascii="仿宋_GB2312" w:hAnsi="仿宋_GB2312" w:cs="仿宋_GB2312" w:eastAsia="仿宋_GB2312"/>
              </w:rPr>
              <w:t>个日历天</w:t>
            </w:r>
          </w:p>
          <w:p>
            <w:pPr>
              <w:pStyle w:val="null3"/>
              <w:jc w:val="both"/>
            </w:pPr>
            <w:r>
              <w:rPr>
                <w:rFonts w:ascii="仿宋_GB2312" w:hAnsi="仿宋_GB2312" w:cs="仿宋_GB2312" w:eastAsia="仿宋_GB2312"/>
              </w:rPr>
              <w:t>六、工程指标的具体要求</w:t>
            </w:r>
          </w:p>
          <w:p>
            <w:pPr>
              <w:pStyle w:val="null3"/>
              <w:ind w:firstLine="400"/>
              <w:jc w:val="both"/>
            </w:pPr>
            <w:r>
              <w:rPr>
                <w:rFonts w:ascii="仿宋_GB2312" w:hAnsi="仿宋_GB2312" w:cs="仿宋_GB2312" w:eastAsia="仿宋_GB2312"/>
              </w:rPr>
              <w:t>质量标准：达到国家验收规范合格标准</w:t>
            </w:r>
          </w:p>
          <w:p>
            <w:pPr>
              <w:pStyle w:val="null3"/>
              <w:ind w:firstLine="400"/>
              <w:jc w:val="both"/>
            </w:pPr>
            <w:r>
              <w:rPr>
                <w:rFonts w:ascii="仿宋_GB2312" w:hAnsi="仿宋_GB2312" w:cs="仿宋_GB2312" w:eastAsia="仿宋_GB2312"/>
              </w:rPr>
              <w:t>质保期：两年</w:t>
            </w:r>
          </w:p>
          <w:p>
            <w:pPr>
              <w:pStyle w:val="null3"/>
              <w:jc w:val="both"/>
            </w:pPr>
            <w:r>
              <w:rPr>
                <w:rFonts w:ascii="仿宋_GB2312" w:hAnsi="仿宋_GB2312" w:cs="仿宋_GB2312" w:eastAsia="仿宋_GB2312"/>
              </w:rPr>
              <w:t>七、付款方式</w:t>
            </w:r>
          </w:p>
          <w:p>
            <w:pPr>
              <w:pStyle w:val="null3"/>
              <w:ind w:firstLine="400"/>
              <w:jc w:val="both"/>
            </w:pPr>
            <w:r>
              <w:rPr>
                <w:rFonts w:ascii="仿宋_GB2312" w:hAnsi="仿宋_GB2312" w:cs="仿宋_GB2312" w:eastAsia="仿宋_GB2312"/>
              </w:rPr>
              <w:t>合同签订后</w:t>
            </w:r>
            <w:r>
              <w:rPr>
                <w:rFonts w:ascii="仿宋_GB2312" w:hAnsi="仿宋_GB2312" w:cs="仿宋_GB2312" w:eastAsia="仿宋_GB2312"/>
              </w:rPr>
              <w:t>5</w:t>
            </w:r>
            <w:r>
              <w:rPr>
                <w:rFonts w:ascii="仿宋_GB2312" w:hAnsi="仿宋_GB2312" w:cs="仿宋_GB2312" w:eastAsia="仿宋_GB2312"/>
              </w:rPr>
              <w:t>日内，支付合同价款的</w:t>
            </w:r>
            <w:r>
              <w:rPr>
                <w:rFonts w:ascii="仿宋_GB2312" w:hAnsi="仿宋_GB2312" w:cs="仿宋_GB2312" w:eastAsia="仿宋_GB2312"/>
              </w:rPr>
              <w:t>40%</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专项非标定制品出厂前，支付至合同价款的</w:t>
            </w:r>
            <w:r>
              <w:rPr>
                <w:rFonts w:ascii="仿宋_GB2312" w:hAnsi="仿宋_GB2312" w:cs="仿宋_GB2312" w:eastAsia="仿宋_GB2312"/>
              </w:rPr>
              <w:t>70%</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施工完成后</w:t>
            </w:r>
            <w:r>
              <w:rPr>
                <w:rFonts w:ascii="仿宋_GB2312" w:hAnsi="仿宋_GB2312" w:cs="仿宋_GB2312" w:eastAsia="仿宋_GB2312"/>
              </w:rPr>
              <w:t>5</w:t>
            </w:r>
            <w:r>
              <w:rPr>
                <w:rFonts w:ascii="仿宋_GB2312" w:hAnsi="仿宋_GB2312" w:cs="仿宋_GB2312" w:eastAsia="仿宋_GB2312"/>
              </w:rPr>
              <w:t>日内，支付至合同价款的</w:t>
            </w:r>
            <w:r>
              <w:rPr>
                <w:rFonts w:ascii="仿宋_GB2312" w:hAnsi="仿宋_GB2312" w:cs="仿宋_GB2312" w:eastAsia="仿宋_GB2312"/>
              </w:rPr>
              <w:t>85%</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工程验收合格并完成审计结算后</w:t>
            </w:r>
            <w:r>
              <w:rPr>
                <w:rFonts w:ascii="仿宋_GB2312" w:hAnsi="仿宋_GB2312" w:cs="仿宋_GB2312" w:eastAsia="仿宋_GB2312"/>
              </w:rPr>
              <w:t>5</w:t>
            </w:r>
            <w:r>
              <w:rPr>
                <w:rFonts w:ascii="仿宋_GB2312" w:hAnsi="仿宋_GB2312" w:cs="仿宋_GB2312" w:eastAsia="仿宋_GB2312"/>
              </w:rPr>
              <w:t>日内，支付至工程结算价款的</w:t>
            </w:r>
            <w:r>
              <w:rPr>
                <w:rFonts w:ascii="仿宋_GB2312" w:hAnsi="仿宋_GB2312" w:cs="仿宋_GB2312" w:eastAsia="仿宋_GB2312"/>
              </w:rPr>
              <w:t>100%</w:t>
            </w:r>
            <w:r>
              <w:rPr>
                <w:rFonts w:ascii="仿宋_GB2312" w:hAnsi="仿宋_GB2312" w:cs="仿宋_GB2312" w:eastAsia="仿宋_GB2312"/>
              </w:rPr>
              <w:t>。</w:t>
            </w:r>
          </w:p>
          <w:p>
            <w:pPr>
              <w:pStyle w:val="null3"/>
              <w:jc w:val="both"/>
            </w:pPr>
            <w:r>
              <w:rPr>
                <w:rFonts w:ascii="仿宋_GB2312" w:hAnsi="仿宋_GB2312" w:cs="仿宋_GB2312" w:eastAsia="仿宋_GB2312"/>
              </w:rPr>
              <w:t>八、工程量清单和计价依据</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工程量清单</w:t>
            </w:r>
            <w:r>
              <w:rPr>
                <w:rFonts w:ascii="仿宋_GB2312" w:hAnsi="仿宋_GB2312" w:cs="仿宋_GB2312" w:eastAsia="仿宋_GB2312"/>
              </w:rPr>
              <w:t>见附件</w:t>
            </w:r>
          </w:p>
          <w:p>
            <w:pPr>
              <w:pStyle w:val="null3"/>
              <w:jc w:val="both"/>
            </w:pPr>
            <w:r>
              <w:rPr>
                <w:rFonts w:ascii="仿宋_GB2312" w:hAnsi="仿宋_GB2312" w:cs="仿宋_GB2312" w:eastAsia="仿宋_GB2312"/>
              </w:rPr>
              <w:t>九</w:t>
            </w:r>
            <w:r>
              <w:rPr>
                <w:rFonts w:ascii="仿宋_GB2312" w:hAnsi="仿宋_GB2312" w:cs="仿宋_GB2312" w:eastAsia="仿宋_GB2312"/>
              </w:rPr>
              <w:t>、</w:t>
            </w:r>
            <w:r>
              <w:rPr>
                <w:rFonts w:ascii="仿宋_GB2312" w:hAnsi="仿宋_GB2312" w:cs="仿宋_GB2312" w:eastAsia="仿宋_GB2312"/>
                <w:sz w:val="20"/>
              </w:rPr>
              <w:t>陈列展示内容</w:t>
            </w:r>
          </w:p>
          <w:p>
            <w:pPr>
              <w:pStyle w:val="null3"/>
              <w:jc w:val="both"/>
            </w:pPr>
            <w:r>
              <w:rPr>
                <w:rFonts w:ascii="仿宋_GB2312" w:hAnsi="仿宋_GB2312" w:cs="仿宋_GB2312" w:eastAsia="仿宋_GB2312"/>
              </w:rPr>
              <w:t>第一板块</w:t>
            </w:r>
            <w:r>
              <w:rPr>
                <w:rFonts w:ascii="仿宋_GB2312" w:hAnsi="仿宋_GB2312" w:cs="仿宋_GB2312" w:eastAsia="仿宋_GB2312"/>
              </w:rPr>
              <w:t>关学历史文化</w:t>
            </w:r>
          </w:p>
          <w:p>
            <w:pPr>
              <w:pStyle w:val="null3"/>
              <w:jc w:val="both"/>
            </w:pPr>
            <w:r>
              <w:rPr>
                <w:rFonts w:ascii="仿宋_GB2312" w:hAnsi="仿宋_GB2312" w:cs="仿宋_GB2312" w:eastAsia="仿宋_GB2312"/>
              </w:rPr>
              <w:t>第一单元</w:t>
            </w:r>
            <w:r>
              <w:rPr>
                <w:rFonts w:ascii="仿宋_GB2312" w:hAnsi="仿宋_GB2312" w:cs="仿宋_GB2312" w:eastAsia="仿宋_GB2312"/>
              </w:rPr>
              <w:t>往圣之学</w:t>
            </w:r>
          </w:p>
          <w:p>
            <w:pPr>
              <w:pStyle w:val="null3"/>
              <w:jc w:val="both"/>
            </w:pPr>
            <w:r>
              <w:rPr>
                <w:rFonts w:ascii="仿宋_GB2312" w:hAnsi="仿宋_GB2312" w:cs="仿宋_GB2312" w:eastAsia="仿宋_GB2312"/>
              </w:rPr>
              <w:t>第一节</w:t>
            </w:r>
            <w:r>
              <w:rPr>
                <w:rFonts w:ascii="仿宋_GB2312" w:hAnsi="仿宋_GB2312" w:cs="仿宋_GB2312" w:eastAsia="仿宋_GB2312"/>
              </w:rPr>
              <w:t>儒家学派</w:t>
            </w:r>
          </w:p>
          <w:p>
            <w:pPr>
              <w:pStyle w:val="null3"/>
              <w:jc w:val="both"/>
            </w:pPr>
            <w:r>
              <w:rPr>
                <w:rFonts w:ascii="仿宋_GB2312" w:hAnsi="仿宋_GB2312" w:cs="仿宋_GB2312" w:eastAsia="仿宋_GB2312"/>
              </w:rPr>
              <w:t>第二节</w:t>
            </w:r>
            <w:r>
              <w:rPr>
                <w:rFonts w:ascii="仿宋_GB2312" w:hAnsi="仿宋_GB2312" w:cs="仿宋_GB2312" w:eastAsia="仿宋_GB2312"/>
              </w:rPr>
              <w:t>经学时代</w:t>
            </w:r>
          </w:p>
          <w:p>
            <w:pPr>
              <w:pStyle w:val="null3"/>
              <w:jc w:val="both"/>
            </w:pPr>
            <w:r>
              <w:rPr>
                <w:rFonts w:ascii="仿宋_GB2312" w:hAnsi="仿宋_GB2312" w:cs="仿宋_GB2312" w:eastAsia="仿宋_GB2312"/>
              </w:rPr>
              <w:t>第三节</w:t>
            </w:r>
            <w:r>
              <w:rPr>
                <w:rFonts w:ascii="仿宋_GB2312" w:hAnsi="仿宋_GB2312" w:cs="仿宋_GB2312" w:eastAsia="仿宋_GB2312"/>
              </w:rPr>
              <w:t>理学时代</w:t>
            </w:r>
          </w:p>
          <w:p>
            <w:pPr>
              <w:pStyle w:val="null3"/>
              <w:jc w:val="both"/>
            </w:pPr>
            <w:r>
              <w:rPr>
                <w:rFonts w:ascii="仿宋_GB2312" w:hAnsi="仿宋_GB2312" w:cs="仿宋_GB2312" w:eastAsia="仿宋_GB2312"/>
              </w:rPr>
              <w:t>第二单元</w:t>
            </w:r>
            <w:r>
              <w:rPr>
                <w:rFonts w:ascii="仿宋_GB2312" w:hAnsi="仿宋_GB2312" w:cs="仿宋_GB2312" w:eastAsia="仿宋_GB2312"/>
              </w:rPr>
              <w:t>张载创立关学</w:t>
            </w:r>
          </w:p>
          <w:p>
            <w:pPr>
              <w:pStyle w:val="null3"/>
              <w:jc w:val="both"/>
            </w:pPr>
            <w:r>
              <w:rPr>
                <w:rFonts w:ascii="仿宋_GB2312" w:hAnsi="仿宋_GB2312" w:cs="仿宋_GB2312" w:eastAsia="仿宋_GB2312"/>
              </w:rPr>
              <w:t>第三单元</w:t>
            </w:r>
            <w:r>
              <w:rPr>
                <w:rFonts w:ascii="仿宋_GB2312" w:hAnsi="仿宋_GB2312" w:cs="仿宋_GB2312" w:eastAsia="仿宋_GB2312"/>
              </w:rPr>
              <w:t xml:space="preserve"> </w:t>
            </w:r>
            <w:r>
              <w:rPr>
                <w:rFonts w:ascii="仿宋_GB2312" w:hAnsi="仿宋_GB2312" w:cs="仿宋_GB2312" w:eastAsia="仿宋_GB2312"/>
              </w:rPr>
              <w:t>张载关学思想</w:t>
            </w:r>
          </w:p>
          <w:p>
            <w:pPr>
              <w:pStyle w:val="null3"/>
              <w:jc w:val="both"/>
            </w:pPr>
            <w:r>
              <w:rPr>
                <w:rFonts w:ascii="仿宋_GB2312" w:hAnsi="仿宋_GB2312" w:cs="仿宋_GB2312" w:eastAsia="仿宋_GB2312"/>
              </w:rPr>
              <w:t>第一节</w:t>
            </w:r>
            <w:r>
              <w:rPr>
                <w:rFonts w:ascii="仿宋_GB2312" w:hAnsi="仿宋_GB2312" w:cs="仿宋_GB2312" w:eastAsia="仿宋_GB2312"/>
              </w:rPr>
              <w:t>“四为”的使命担当意识</w:t>
            </w:r>
          </w:p>
          <w:p>
            <w:pPr>
              <w:pStyle w:val="null3"/>
              <w:jc w:val="both"/>
            </w:pPr>
            <w:r>
              <w:rPr>
                <w:rFonts w:ascii="仿宋_GB2312" w:hAnsi="仿宋_GB2312" w:cs="仿宋_GB2312" w:eastAsia="仿宋_GB2312"/>
              </w:rPr>
              <w:t>第二节</w:t>
            </w:r>
            <w:r>
              <w:rPr>
                <w:rFonts w:ascii="仿宋_GB2312" w:hAnsi="仿宋_GB2312" w:cs="仿宋_GB2312" w:eastAsia="仿宋_GB2312"/>
              </w:rPr>
              <w:t>“暂复三代”的政治思想</w:t>
            </w:r>
          </w:p>
          <w:p>
            <w:pPr>
              <w:pStyle w:val="null3"/>
              <w:jc w:val="both"/>
            </w:pPr>
            <w:r>
              <w:rPr>
                <w:rFonts w:ascii="仿宋_GB2312" w:hAnsi="仿宋_GB2312" w:cs="仿宋_GB2312" w:eastAsia="仿宋_GB2312"/>
              </w:rPr>
              <w:t>第三节</w:t>
            </w:r>
            <w:r>
              <w:rPr>
                <w:rFonts w:ascii="仿宋_GB2312" w:hAnsi="仿宋_GB2312" w:cs="仿宋_GB2312" w:eastAsia="仿宋_GB2312"/>
              </w:rPr>
              <w:t>张载的哲学思想</w:t>
            </w:r>
          </w:p>
          <w:p>
            <w:pPr>
              <w:pStyle w:val="null3"/>
              <w:jc w:val="both"/>
            </w:pPr>
            <w:r>
              <w:rPr>
                <w:rFonts w:ascii="仿宋_GB2312" w:hAnsi="仿宋_GB2312" w:cs="仿宋_GB2312" w:eastAsia="仿宋_GB2312"/>
              </w:rPr>
              <w:t>第四节</w:t>
            </w:r>
            <w:r>
              <w:rPr>
                <w:rFonts w:ascii="仿宋_GB2312" w:hAnsi="仿宋_GB2312" w:cs="仿宋_GB2312" w:eastAsia="仿宋_GB2312"/>
              </w:rPr>
              <w:t>“民胞物与”“天人合一”的生态伦理观</w:t>
            </w:r>
          </w:p>
          <w:p>
            <w:pPr>
              <w:pStyle w:val="null3"/>
              <w:jc w:val="both"/>
            </w:pPr>
            <w:r>
              <w:rPr>
                <w:rFonts w:ascii="仿宋_GB2312" w:hAnsi="仿宋_GB2312" w:cs="仿宋_GB2312" w:eastAsia="仿宋_GB2312"/>
              </w:rPr>
              <w:t>第五节</w:t>
            </w:r>
            <w:r>
              <w:rPr>
                <w:rFonts w:ascii="仿宋_GB2312" w:hAnsi="仿宋_GB2312" w:cs="仿宋_GB2312" w:eastAsia="仿宋_GB2312"/>
              </w:rPr>
              <w:t>张载德教为先、学以致用的教育思想</w:t>
            </w:r>
          </w:p>
          <w:p>
            <w:pPr>
              <w:pStyle w:val="null3"/>
              <w:jc w:val="both"/>
            </w:pPr>
            <w:r>
              <w:rPr>
                <w:rFonts w:ascii="仿宋_GB2312" w:hAnsi="仿宋_GB2312" w:cs="仿宋_GB2312" w:eastAsia="仿宋_GB2312"/>
              </w:rPr>
              <w:t>第四单元</w:t>
            </w:r>
            <w:r>
              <w:rPr>
                <w:rFonts w:ascii="仿宋_GB2312" w:hAnsi="仿宋_GB2312" w:cs="仿宋_GB2312" w:eastAsia="仿宋_GB2312"/>
              </w:rPr>
              <w:t>不绝如缕</w:t>
            </w:r>
          </w:p>
          <w:p>
            <w:pPr>
              <w:pStyle w:val="null3"/>
              <w:jc w:val="both"/>
            </w:pPr>
            <w:r>
              <w:rPr>
                <w:rFonts w:ascii="仿宋_GB2312" w:hAnsi="仿宋_GB2312" w:cs="仿宋_GB2312" w:eastAsia="仿宋_GB2312"/>
              </w:rPr>
              <w:t>第一节</w:t>
            </w:r>
            <w:r>
              <w:rPr>
                <w:rFonts w:ascii="仿宋_GB2312" w:hAnsi="仿宋_GB2312" w:cs="仿宋_GB2312" w:eastAsia="仿宋_GB2312"/>
              </w:rPr>
              <w:t>关学传承谱系</w:t>
            </w:r>
          </w:p>
          <w:p>
            <w:pPr>
              <w:pStyle w:val="null3"/>
              <w:jc w:val="both"/>
            </w:pPr>
            <w:r>
              <w:rPr>
                <w:rFonts w:ascii="仿宋_GB2312" w:hAnsi="仿宋_GB2312" w:cs="仿宋_GB2312" w:eastAsia="仿宋_GB2312"/>
              </w:rPr>
              <w:t>第二节</w:t>
            </w:r>
            <w:r>
              <w:rPr>
                <w:rFonts w:ascii="仿宋_GB2312" w:hAnsi="仿宋_GB2312" w:cs="仿宋_GB2312" w:eastAsia="仿宋_GB2312"/>
              </w:rPr>
              <w:t xml:space="preserve"> </w:t>
            </w:r>
            <w:r>
              <w:rPr>
                <w:rFonts w:ascii="仿宋_GB2312" w:hAnsi="仿宋_GB2312" w:cs="仿宋_GB2312" w:eastAsia="仿宋_GB2312"/>
              </w:rPr>
              <w:t>关学当代价值</w:t>
            </w:r>
          </w:p>
          <w:p>
            <w:pPr>
              <w:pStyle w:val="null3"/>
              <w:jc w:val="both"/>
            </w:pPr>
            <w:r>
              <w:rPr>
                <w:rFonts w:ascii="仿宋_GB2312" w:hAnsi="仿宋_GB2312" w:cs="仿宋_GB2312" w:eastAsia="仿宋_GB2312"/>
              </w:rPr>
              <w:t>第三节</w:t>
            </w:r>
            <w:r>
              <w:rPr>
                <w:rFonts w:ascii="仿宋_GB2312" w:hAnsi="仿宋_GB2312" w:cs="仿宋_GB2312" w:eastAsia="仿宋_GB2312"/>
              </w:rPr>
              <w:t xml:space="preserve"> </w:t>
            </w:r>
            <w:r>
              <w:rPr>
                <w:rFonts w:ascii="仿宋_GB2312" w:hAnsi="仿宋_GB2312" w:cs="仿宋_GB2312" w:eastAsia="仿宋_GB2312"/>
              </w:rPr>
              <w:t>关学家训家风</w:t>
            </w:r>
          </w:p>
          <w:p>
            <w:pPr>
              <w:pStyle w:val="null3"/>
              <w:jc w:val="both"/>
            </w:pPr>
            <w:r>
              <w:rPr>
                <w:rFonts w:ascii="仿宋_GB2312" w:hAnsi="仿宋_GB2312" w:cs="仿宋_GB2312" w:eastAsia="仿宋_GB2312"/>
              </w:rPr>
              <w:t>第二板块</w:t>
            </w:r>
            <w:r>
              <w:rPr>
                <w:rFonts w:ascii="仿宋_GB2312" w:hAnsi="仿宋_GB2312" w:cs="仿宋_GB2312" w:eastAsia="仿宋_GB2312"/>
              </w:rPr>
              <w:t>关中书院历史文化</w:t>
            </w:r>
          </w:p>
          <w:p>
            <w:pPr>
              <w:pStyle w:val="null3"/>
              <w:jc w:val="both"/>
            </w:pPr>
            <w:r>
              <w:rPr>
                <w:rFonts w:ascii="仿宋_GB2312" w:hAnsi="仿宋_GB2312" w:cs="仿宋_GB2312" w:eastAsia="仿宋_GB2312"/>
              </w:rPr>
              <w:t>第一单元</w:t>
            </w:r>
            <w:r>
              <w:rPr>
                <w:rFonts w:ascii="仿宋_GB2312" w:hAnsi="仿宋_GB2312" w:cs="仿宋_GB2312" w:eastAsia="仿宋_GB2312"/>
              </w:rPr>
              <w:t>古代学校</w:t>
            </w:r>
          </w:p>
          <w:p>
            <w:pPr>
              <w:pStyle w:val="null3"/>
              <w:jc w:val="both"/>
            </w:pPr>
            <w:r>
              <w:rPr>
                <w:rFonts w:ascii="仿宋_GB2312" w:hAnsi="仿宋_GB2312" w:cs="仿宋_GB2312" w:eastAsia="仿宋_GB2312"/>
              </w:rPr>
              <w:t>第一节</w:t>
            </w:r>
            <w:r>
              <w:rPr>
                <w:rFonts w:ascii="仿宋_GB2312" w:hAnsi="仿宋_GB2312" w:cs="仿宋_GB2312" w:eastAsia="仿宋_GB2312"/>
              </w:rPr>
              <w:t>学在官府</w:t>
            </w:r>
          </w:p>
          <w:p>
            <w:pPr>
              <w:pStyle w:val="null3"/>
              <w:jc w:val="both"/>
            </w:pPr>
            <w:r>
              <w:rPr>
                <w:rFonts w:ascii="仿宋_GB2312" w:hAnsi="仿宋_GB2312" w:cs="仿宋_GB2312" w:eastAsia="仿宋_GB2312"/>
              </w:rPr>
              <w:t>第二节</w:t>
            </w:r>
            <w:r>
              <w:rPr>
                <w:rFonts w:ascii="仿宋_GB2312" w:hAnsi="仿宋_GB2312" w:cs="仿宋_GB2312" w:eastAsia="仿宋_GB2312"/>
              </w:rPr>
              <w:t>有教无类</w:t>
            </w:r>
          </w:p>
          <w:p>
            <w:pPr>
              <w:pStyle w:val="null3"/>
              <w:jc w:val="both"/>
            </w:pPr>
            <w:r>
              <w:rPr>
                <w:rFonts w:ascii="仿宋_GB2312" w:hAnsi="仿宋_GB2312" w:cs="仿宋_GB2312" w:eastAsia="仿宋_GB2312"/>
              </w:rPr>
              <w:t>第三节</w:t>
            </w:r>
            <w:r>
              <w:rPr>
                <w:rFonts w:ascii="仿宋_GB2312" w:hAnsi="仿宋_GB2312" w:cs="仿宋_GB2312" w:eastAsia="仿宋_GB2312"/>
              </w:rPr>
              <w:t>学校体制</w:t>
            </w:r>
          </w:p>
          <w:p>
            <w:pPr>
              <w:pStyle w:val="null3"/>
              <w:jc w:val="both"/>
            </w:pPr>
            <w:r>
              <w:rPr>
                <w:rFonts w:ascii="仿宋_GB2312" w:hAnsi="仿宋_GB2312" w:cs="仿宋_GB2312" w:eastAsia="仿宋_GB2312"/>
              </w:rPr>
              <w:t>第二单元</w:t>
            </w:r>
            <w:r>
              <w:rPr>
                <w:rFonts w:ascii="仿宋_GB2312" w:hAnsi="仿宋_GB2312" w:cs="仿宋_GB2312" w:eastAsia="仿宋_GB2312"/>
              </w:rPr>
              <w:t>天下书院</w:t>
            </w:r>
          </w:p>
          <w:p>
            <w:pPr>
              <w:pStyle w:val="null3"/>
              <w:jc w:val="both"/>
            </w:pPr>
            <w:r>
              <w:rPr>
                <w:rFonts w:ascii="仿宋_GB2312" w:hAnsi="仿宋_GB2312" w:cs="仿宋_GB2312" w:eastAsia="仿宋_GB2312"/>
              </w:rPr>
              <w:t>第一节</w:t>
            </w:r>
            <w:r>
              <w:rPr>
                <w:rFonts w:ascii="仿宋_GB2312" w:hAnsi="仿宋_GB2312" w:cs="仿宋_GB2312" w:eastAsia="仿宋_GB2312"/>
              </w:rPr>
              <w:t>唐代起源</w:t>
            </w:r>
          </w:p>
          <w:p>
            <w:pPr>
              <w:pStyle w:val="null3"/>
              <w:jc w:val="both"/>
            </w:pPr>
            <w:r>
              <w:rPr>
                <w:rFonts w:ascii="仿宋_GB2312" w:hAnsi="仿宋_GB2312" w:cs="仿宋_GB2312" w:eastAsia="仿宋_GB2312"/>
              </w:rPr>
              <w:t>第二节</w:t>
            </w:r>
            <w:r>
              <w:rPr>
                <w:rFonts w:ascii="仿宋_GB2312" w:hAnsi="仿宋_GB2312" w:cs="仿宋_GB2312" w:eastAsia="仿宋_GB2312"/>
              </w:rPr>
              <w:t>两宋兴盛</w:t>
            </w:r>
          </w:p>
          <w:p>
            <w:pPr>
              <w:pStyle w:val="null3"/>
              <w:jc w:val="both"/>
            </w:pPr>
            <w:r>
              <w:rPr>
                <w:rFonts w:ascii="仿宋_GB2312" w:hAnsi="仿宋_GB2312" w:cs="仿宋_GB2312" w:eastAsia="仿宋_GB2312"/>
              </w:rPr>
              <w:t>第三节</w:t>
            </w:r>
            <w:r>
              <w:rPr>
                <w:rFonts w:ascii="仿宋_GB2312" w:hAnsi="仿宋_GB2312" w:cs="仿宋_GB2312" w:eastAsia="仿宋_GB2312"/>
              </w:rPr>
              <w:t xml:space="preserve"> </w:t>
            </w:r>
            <w:r>
              <w:rPr>
                <w:rFonts w:ascii="仿宋_GB2312" w:hAnsi="仿宋_GB2312" w:cs="仿宋_GB2312" w:eastAsia="仿宋_GB2312"/>
              </w:rPr>
              <w:t>元代推广</w:t>
            </w:r>
          </w:p>
          <w:p>
            <w:pPr>
              <w:pStyle w:val="null3"/>
              <w:jc w:val="both"/>
            </w:pPr>
            <w:r>
              <w:rPr>
                <w:rFonts w:ascii="仿宋_GB2312" w:hAnsi="仿宋_GB2312" w:cs="仿宋_GB2312" w:eastAsia="仿宋_GB2312"/>
              </w:rPr>
              <w:t>第四节</w:t>
            </w:r>
            <w:r>
              <w:rPr>
                <w:rFonts w:ascii="仿宋_GB2312" w:hAnsi="仿宋_GB2312" w:cs="仿宋_GB2312" w:eastAsia="仿宋_GB2312"/>
              </w:rPr>
              <w:t>明代发展</w:t>
            </w:r>
          </w:p>
          <w:p>
            <w:pPr>
              <w:pStyle w:val="null3"/>
              <w:jc w:val="both"/>
            </w:pPr>
            <w:r>
              <w:rPr>
                <w:rFonts w:ascii="仿宋_GB2312" w:hAnsi="仿宋_GB2312" w:cs="仿宋_GB2312" w:eastAsia="仿宋_GB2312"/>
              </w:rPr>
              <w:t>第五节</w:t>
            </w:r>
            <w:r>
              <w:rPr>
                <w:rFonts w:ascii="仿宋_GB2312" w:hAnsi="仿宋_GB2312" w:cs="仿宋_GB2312" w:eastAsia="仿宋_GB2312"/>
              </w:rPr>
              <w:t>清代鼎盛</w:t>
            </w:r>
          </w:p>
          <w:p>
            <w:pPr>
              <w:pStyle w:val="null3"/>
              <w:jc w:val="both"/>
            </w:pPr>
            <w:r>
              <w:rPr>
                <w:rFonts w:ascii="仿宋_GB2312" w:hAnsi="仿宋_GB2312" w:cs="仿宋_GB2312" w:eastAsia="仿宋_GB2312"/>
              </w:rPr>
              <w:t>第三单元</w:t>
            </w:r>
            <w:r>
              <w:rPr>
                <w:rFonts w:ascii="仿宋_GB2312" w:hAnsi="仿宋_GB2312" w:cs="仿宋_GB2312" w:eastAsia="仿宋_GB2312"/>
              </w:rPr>
              <w:t>关中书院历史文化</w:t>
            </w:r>
          </w:p>
          <w:p>
            <w:pPr>
              <w:pStyle w:val="null3"/>
              <w:jc w:val="both"/>
            </w:pPr>
            <w:r>
              <w:rPr>
                <w:rFonts w:ascii="仿宋_GB2312" w:hAnsi="仿宋_GB2312" w:cs="仿宋_GB2312" w:eastAsia="仿宋_GB2312"/>
              </w:rPr>
              <w:t>第一节</w:t>
            </w:r>
            <w:r>
              <w:rPr>
                <w:rFonts w:ascii="仿宋_GB2312" w:hAnsi="仿宋_GB2312" w:cs="仿宋_GB2312" w:eastAsia="仿宋_GB2312"/>
              </w:rPr>
              <w:t xml:space="preserve"> </w:t>
            </w:r>
            <w:r>
              <w:rPr>
                <w:rFonts w:ascii="仿宋_GB2312" w:hAnsi="仿宋_GB2312" w:cs="仿宋_GB2312" w:eastAsia="仿宋_GB2312"/>
              </w:rPr>
              <w:t>明末创建</w:t>
            </w:r>
          </w:p>
          <w:p>
            <w:pPr>
              <w:pStyle w:val="null3"/>
              <w:jc w:val="both"/>
            </w:pPr>
            <w:r>
              <w:rPr>
                <w:rFonts w:ascii="仿宋_GB2312" w:hAnsi="仿宋_GB2312" w:cs="仿宋_GB2312" w:eastAsia="仿宋_GB2312"/>
              </w:rPr>
              <w:t>第二节</w:t>
            </w:r>
            <w:r>
              <w:rPr>
                <w:rFonts w:ascii="仿宋_GB2312" w:hAnsi="仿宋_GB2312" w:cs="仿宋_GB2312" w:eastAsia="仿宋_GB2312"/>
              </w:rPr>
              <w:t xml:space="preserve"> </w:t>
            </w:r>
            <w:r>
              <w:rPr>
                <w:rFonts w:ascii="仿宋_GB2312" w:hAnsi="仿宋_GB2312" w:cs="仿宋_GB2312" w:eastAsia="仿宋_GB2312"/>
              </w:rPr>
              <w:t>讲学明道</w:t>
            </w:r>
          </w:p>
          <w:p>
            <w:pPr>
              <w:pStyle w:val="null3"/>
              <w:jc w:val="both"/>
            </w:pPr>
            <w:r>
              <w:rPr>
                <w:rFonts w:ascii="仿宋_GB2312" w:hAnsi="仿宋_GB2312" w:cs="仿宋_GB2312" w:eastAsia="仿宋_GB2312"/>
              </w:rPr>
              <w:t>第三节</w:t>
            </w:r>
            <w:r>
              <w:rPr>
                <w:rFonts w:ascii="仿宋_GB2312" w:hAnsi="仿宋_GB2312" w:cs="仿宋_GB2312" w:eastAsia="仿宋_GB2312"/>
              </w:rPr>
              <w:t>清代发展</w:t>
            </w:r>
          </w:p>
          <w:p>
            <w:pPr>
              <w:pStyle w:val="null3"/>
              <w:jc w:val="both"/>
            </w:pPr>
            <w:r>
              <w:rPr>
                <w:rFonts w:ascii="仿宋_GB2312" w:hAnsi="仿宋_GB2312" w:cs="仿宋_GB2312" w:eastAsia="仿宋_GB2312"/>
              </w:rPr>
              <w:t>第四节</w:t>
            </w:r>
            <w:r>
              <w:rPr>
                <w:rFonts w:ascii="仿宋_GB2312" w:hAnsi="仿宋_GB2312" w:cs="仿宋_GB2312" w:eastAsia="仿宋_GB2312"/>
              </w:rPr>
              <w:t xml:space="preserve"> </w:t>
            </w:r>
            <w:r>
              <w:rPr>
                <w:rFonts w:ascii="仿宋_GB2312" w:hAnsi="仿宋_GB2312" w:cs="仿宋_GB2312" w:eastAsia="仿宋_GB2312"/>
              </w:rPr>
              <w:t>近现代变革</w:t>
            </w:r>
          </w:p>
          <w:p>
            <w:pPr>
              <w:pStyle w:val="null3"/>
              <w:jc w:val="both"/>
            </w:pPr>
            <w:r>
              <w:rPr>
                <w:rFonts w:ascii="仿宋_GB2312" w:hAnsi="仿宋_GB2312" w:cs="仿宋_GB2312" w:eastAsia="仿宋_GB2312"/>
              </w:rPr>
              <w:t>第</w:t>
            </w:r>
            <w:r>
              <w:rPr>
                <w:rFonts w:ascii="仿宋_GB2312" w:hAnsi="仿宋_GB2312" w:cs="仿宋_GB2312" w:eastAsia="仿宋_GB2312"/>
              </w:rPr>
              <w:t>四</w:t>
            </w:r>
            <w:r>
              <w:rPr>
                <w:rFonts w:ascii="仿宋_GB2312" w:hAnsi="仿宋_GB2312" w:cs="仿宋_GB2312" w:eastAsia="仿宋_GB2312"/>
              </w:rPr>
              <w:t>单元</w:t>
            </w:r>
            <w:r>
              <w:rPr>
                <w:rFonts w:ascii="仿宋_GB2312" w:hAnsi="仿宋_GB2312" w:cs="仿宋_GB2312" w:eastAsia="仿宋_GB2312"/>
              </w:rPr>
              <w:t xml:space="preserve">  </w:t>
            </w:r>
            <w:r>
              <w:rPr>
                <w:rFonts w:ascii="仿宋_GB2312" w:hAnsi="仿宋_GB2312" w:cs="仿宋_GB2312" w:eastAsia="仿宋_GB2312"/>
              </w:rPr>
              <w:t>遗泽一方</w:t>
            </w:r>
          </w:p>
          <w:p>
            <w:pPr>
              <w:pStyle w:val="null3"/>
              <w:jc w:val="both"/>
            </w:pPr>
            <w:r>
              <w:rPr>
                <w:rFonts w:ascii="仿宋_GB2312" w:hAnsi="仿宋_GB2312" w:cs="仿宋_GB2312" w:eastAsia="仿宋_GB2312"/>
              </w:rPr>
              <w:t>第一节</w:t>
            </w:r>
            <w:r>
              <w:rPr>
                <w:rFonts w:ascii="仿宋_GB2312" w:hAnsi="仿宋_GB2312" w:cs="仿宋_GB2312" w:eastAsia="仿宋_GB2312"/>
              </w:rPr>
              <w:t xml:space="preserve"> </w:t>
            </w:r>
            <w:r>
              <w:rPr>
                <w:rFonts w:ascii="仿宋_GB2312" w:hAnsi="仿宋_GB2312" w:cs="仿宋_GB2312" w:eastAsia="仿宋_GB2312"/>
              </w:rPr>
              <w:t xml:space="preserve"> </w:t>
            </w:r>
            <w:r>
              <w:rPr>
                <w:rFonts w:ascii="仿宋_GB2312" w:hAnsi="仿宋_GB2312" w:cs="仿宋_GB2312" w:eastAsia="仿宋_GB2312"/>
              </w:rPr>
              <w:t>关中书院名人</w:t>
            </w:r>
          </w:p>
          <w:p>
            <w:pPr>
              <w:pStyle w:val="null3"/>
              <w:jc w:val="both"/>
            </w:pPr>
            <w:r>
              <w:rPr>
                <w:rFonts w:ascii="仿宋_GB2312" w:hAnsi="仿宋_GB2312" w:cs="仿宋_GB2312" w:eastAsia="仿宋_GB2312"/>
              </w:rPr>
              <w:t>第二节</w:t>
            </w:r>
            <w:r>
              <w:rPr>
                <w:rFonts w:ascii="仿宋_GB2312" w:hAnsi="仿宋_GB2312" w:cs="仿宋_GB2312" w:eastAsia="仿宋_GB2312"/>
              </w:rPr>
              <w:t xml:space="preserve">  </w:t>
            </w:r>
            <w:r>
              <w:rPr>
                <w:rFonts w:ascii="仿宋_GB2312" w:hAnsi="仿宋_GB2312" w:cs="仿宋_GB2312" w:eastAsia="仿宋_GB2312"/>
              </w:rPr>
              <w:t>书院</w:t>
            </w:r>
            <w:r>
              <w:rPr>
                <w:rFonts w:ascii="仿宋_GB2312" w:hAnsi="仿宋_GB2312" w:cs="仿宋_GB2312" w:eastAsia="仿宋_GB2312"/>
              </w:rPr>
              <w:t>学规学约</w:t>
            </w:r>
          </w:p>
          <w:p>
            <w:pPr>
              <w:pStyle w:val="null3"/>
              <w:jc w:val="both"/>
            </w:pPr>
            <w:r>
              <w:rPr>
                <w:rFonts w:ascii="仿宋_GB2312" w:hAnsi="仿宋_GB2312" w:cs="仿宋_GB2312" w:eastAsia="仿宋_GB2312"/>
              </w:rPr>
              <w:t>第</w:t>
            </w:r>
            <w:r>
              <w:rPr>
                <w:rFonts w:ascii="仿宋_GB2312" w:hAnsi="仿宋_GB2312" w:cs="仿宋_GB2312" w:eastAsia="仿宋_GB2312"/>
              </w:rPr>
              <w:t>五</w:t>
            </w:r>
            <w:r>
              <w:rPr>
                <w:rFonts w:ascii="仿宋_GB2312" w:hAnsi="仿宋_GB2312" w:cs="仿宋_GB2312" w:eastAsia="仿宋_GB2312"/>
              </w:rPr>
              <w:t>单元</w:t>
            </w:r>
            <w:r>
              <w:rPr>
                <w:rFonts w:ascii="仿宋_GB2312" w:hAnsi="仿宋_GB2312" w:cs="仿宋_GB2312" w:eastAsia="仿宋_GB2312"/>
              </w:rPr>
              <w:t>传灯不辍：关中书院山长谱系</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满足国家行业相关标准及磋商文件相关要求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（一）采购标的对应的中小企业划分标准所属行业为建筑业。建筑业的划型标准为：营业收入80000万元以下或资产总额 80000万元以下的为中小微型企业。其中，营业收入6000万元及以上，且资产总额5000万元及以上的为中型企业；营业收 入300万元及以上，且资产总额300万元及以上的为小型企业；营业收入300万元以下或资产总额300万元以下的为微型企业； （二）需要落实的政府采购政策：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 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 （三）本项目为综合单价合同，最终固定单价以最终总报价/首次总报价的比例等比例下浮。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中小企业声明函 供应商应提交的相关资格证明材料 技术服务合同条款及其他商务要求应答表 强制优先采购产品承诺函 响应文件封面 项目管理机构组成表 残疾人福利性单位声明函 响应文件格式.docx 报价函 标的清单 供应商类似项目业绩一览表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供应商须具备建筑装修装饰工程专业承包二级及以上（含二级）资质，以及合法有效的安全生产许可证；，供应商需在项目电子化交易系统中按要求上传相应证明文件</w:t>
            </w:r>
          </w:p>
        </w:tc>
        <w:tc>
          <w:tcPr>
            <w:tcW w:type="dxa" w:w="3322"/>
          </w:tcPr>
          <w:p>
            <w:pPr>
              <w:pStyle w:val="null3"/>
            </w:pPr>
            <w:r>
              <w:rPr>
                <w:rFonts w:ascii="仿宋_GB2312" w:hAnsi="仿宋_GB2312" w:cs="仿宋_GB2312" w:eastAsia="仿宋_GB2312"/>
              </w:rPr>
              <w:t>供应商须具备建筑装修装饰工程专业承包二级及以上（含二级）资质，以及合法有效的安全生产许可证；，供应商需在项目电子化交易系统中按要求上传相应证明文件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拟派项目负责人具备建筑工程专业贰级及以上建造师注册证书，具备有效的安全生产考核合格B证， 在本单位注册且无在建项目，供应商需在项目电子化交易系统中按要求上传相应证明文件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 明； 其中：重大违法记录是指供应商因违法经营受到刑事处罚或者责令停产停业、吊销许可证或者执照 、较大数额罚款等行政处罚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参加政府采购活动前3年内在经营活动中没有重大违法记录的书面声明，其中：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2024年经审计的财务报告（事业法人可提供部门决算报告）或基本开户银行出具的资信证明或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整个项目施工的具体方案。 赋分标准：（1）完整性（2）针对性（3）可操作性 本部分内容全面、阐述条理清晰详尽、符合本项目采购需求且描述详细得6分，若赋分点响应程度有欠缺则该点得1分，未响应不得分。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技术组织措施1</w:t>
            </w:r>
          </w:p>
        </w:tc>
        <w:tc>
          <w:tcPr>
            <w:tcW w:type="dxa" w:w="2492"/>
          </w:tcPr>
          <w:p>
            <w:pPr>
              <w:pStyle w:val="null3"/>
            </w:pPr>
            <w:r>
              <w:rPr>
                <w:rFonts w:ascii="仿宋_GB2312" w:hAnsi="仿宋_GB2312" w:cs="仿宋_GB2312" w:eastAsia="仿宋_GB2312"/>
              </w:rPr>
              <w:t>确保工程质量的技术组织措施 赋分标准：（1）完整性（2）针对性（3）可操作性 本部分内容全面、阐述条理清晰详尽、符合本项目采购需求且描述详细得6分，若赋分点响应程度有欠缺则该点得1分，未响应不得分。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技术组织措施2</w:t>
            </w:r>
          </w:p>
        </w:tc>
        <w:tc>
          <w:tcPr>
            <w:tcW w:type="dxa" w:w="2492"/>
          </w:tcPr>
          <w:p>
            <w:pPr>
              <w:pStyle w:val="null3"/>
            </w:pPr>
            <w:r>
              <w:rPr>
                <w:rFonts w:ascii="仿宋_GB2312" w:hAnsi="仿宋_GB2312" w:cs="仿宋_GB2312" w:eastAsia="仿宋_GB2312"/>
              </w:rPr>
              <w:t>确保工期的技术组织措施 赋分标准：（1）完整性（2）针对性（3）可操作性 本内容全面、阐述条理清晰详尽、符合本项目采购需求且描述详细得6分，若赋分点响应程度有欠缺则该点得1分，未响应不得分。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技术组织措施3</w:t>
            </w:r>
          </w:p>
        </w:tc>
        <w:tc>
          <w:tcPr>
            <w:tcW w:type="dxa" w:w="2492"/>
          </w:tcPr>
          <w:p>
            <w:pPr>
              <w:pStyle w:val="null3"/>
            </w:pPr>
            <w:r>
              <w:rPr>
                <w:rFonts w:ascii="仿宋_GB2312" w:hAnsi="仿宋_GB2312" w:cs="仿宋_GB2312" w:eastAsia="仿宋_GB2312"/>
              </w:rPr>
              <w:t>确保安全的生产技术组织措施 赋分标准：（1）合理性（2）针对性（3）可操作性 本部分内容全面、阐述条理清晰详尽、符合本项目采购需求且描述详细得6分，若赋分点响应程度有欠缺则该点得1分，未响应不得分。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项目组织管理及项目人员组成</w:t>
            </w:r>
          </w:p>
        </w:tc>
        <w:tc>
          <w:tcPr>
            <w:tcW w:type="dxa" w:w="2492"/>
          </w:tcPr>
          <w:p>
            <w:pPr>
              <w:pStyle w:val="null3"/>
            </w:pPr>
            <w:r>
              <w:rPr>
                <w:rFonts w:ascii="仿宋_GB2312" w:hAnsi="仿宋_GB2312" w:cs="仿宋_GB2312" w:eastAsia="仿宋_GB2312"/>
              </w:rPr>
              <w:t>项目组织管理机构，项目经理及项目实施的人员组成情况 赋分标准：（1）合理性（2）针对性（3）可操作性 本部分内容全面、阐述条理清晰详尽、符合本项目采购需求且描述详细得6分，若赋分点响应程度有欠缺则该点得1分，未响应不得分。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文明施工及环境保护</w:t>
            </w:r>
          </w:p>
        </w:tc>
        <w:tc>
          <w:tcPr>
            <w:tcW w:type="dxa" w:w="2492"/>
          </w:tcPr>
          <w:p>
            <w:pPr>
              <w:pStyle w:val="null3"/>
            </w:pPr>
            <w:r>
              <w:rPr>
                <w:rFonts w:ascii="仿宋_GB2312" w:hAnsi="仿宋_GB2312" w:cs="仿宋_GB2312" w:eastAsia="仿宋_GB2312"/>
              </w:rPr>
              <w:t>确保文明施工的技术组织措施及环境保护（噪音、扬尘）措施 赋分标准：（1）合理性（2）针对性（3）可操作性 本部分内容全面、阐述条理清晰详尽、符合本项目采购需求且描述详细得6分，若赋分点响应程度有欠缺则该点得1分，未响应不得分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成品保护方案</w:t>
            </w:r>
          </w:p>
        </w:tc>
        <w:tc>
          <w:tcPr>
            <w:tcW w:type="dxa" w:w="2492"/>
          </w:tcPr>
          <w:p>
            <w:pPr>
              <w:pStyle w:val="null3"/>
            </w:pPr>
            <w:r>
              <w:rPr>
                <w:rFonts w:ascii="仿宋_GB2312" w:hAnsi="仿宋_GB2312" w:cs="仿宋_GB2312" w:eastAsia="仿宋_GB2312"/>
              </w:rPr>
              <w:t>针对本项目成品保护的方案 赋分标准：（1）合理性（2）针对性（3）可操作性 本部分内容全面、阐述条理清晰详尽、符合本项目采购需求且描述详细得6分，若赋分点响应程度有欠缺则该点得1分，未响应不得分。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针对本项目提供具体可行的应急预案 赋分标准：（1）合理性（2）针对性（3）可操作性 本部分内容全面、阐述条理清晰详尽、符合本项目采购需求且描述详细得6分，若赋分点响应程度有欠缺则该点得1分，未响应不得分。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新材料、新技术、新工艺和节能措施</w:t>
            </w:r>
          </w:p>
        </w:tc>
        <w:tc>
          <w:tcPr>
            <w:tcW w:type="dxa" w:w="2492"/>
          </w:tcPr>
          <w:p>
            <w:pPr>
              <w:pStyle w:val="null3"/>
            </w:pPr>
            <w:r>
              <w:rPr>
                <w:rFonts w:ascii="仿宋_GB2312" w:hAnsi="仿宋_GB2312" w:cs="仿宋_GB2312" w:eastAsia="仿宋_GB2312"/>
              </w:rPr>
              <w:t>针对本项目新材料、新技术、新工艺和节能措施 赋分标准：（1）合理性（2）针对性（3）可操作性 本部分内容全面、阐述条理清晰详尽、符合本项目采购需求且描述详细得6分，若赋分点响应程度有欠缺则该点得1分，未响应不得分。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施工进度计划表及劳动力安排计划表</w:t>
            </w:r>
          </w:p>
        </w:tc>
        <w:tc>
          <w:tcPr>
            <w:tcW w:type="dxa" w:w="2492"/>
          </w:tcPr>
          <w:p>
            <w:pPr>
              <w:pStyle w:val="null3"/>
            </w:pPr>
            <w:r>
              <w:rPr>
                <w:rFonts w:ascii="仿宋_GB2312" w:hAnsi="仿宋_GB2312" w:cs="仿宋_GB2312" w:eastAsia="仿宋_GB2312"/>
              </w:rPr>
              <w:t>针对本项目提供的施工进度计划表及劳动力安排计划表 赋分标准：（1）合理性（2）针对性（3）可操作性 本部分内容全面、阐述条理清晰详尽、符合本项目采购需求且描述详细得6分，若赋分点响应程度有欠缺则该点得1分，未响应不得分。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2022年6月以来承接过类似项目的合同证明（以合同的签订日期为准）（每提供一个得2分，满分1 0分）（合同内容须清晰可辨认， 无涂改，否则视为无效合同）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符合招标文件规定的小微企业、监狱企业、残疾人福利性单位优惠条件的供应商，价格给予3%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响应文件格式.docx 报价函 标的清单 供应商类似项目业绩一览表 响应函 主要人员简历表 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详见附件：拟签订采购合同文本--固定单价.docx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