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版本号：SXZY-2025-ZC-1131-220250712001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节水改造设备采购项目(二次)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SXZY-2025-ZC-1131-2</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节水改造设备采购项目(二次)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SXZY-2025-ZC-1131-2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节水改造设备采购项目(二次)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节水改造设备采购项目。具体详见本项目竞争性谈判文件。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采购包1（二标段：西安文理学院校园供水远程监测系统采购项目）：属于专门面向中小企业采购。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3、非联合体谈判声明：提交非联合体形式参加本项目谈判的声明函。供应商需在项目电子化交易系统中按要求上传相应证明文件并进行电子签章。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4、资质要求：供应商须具备国家建设行政主管部门颁发的电子与智能化工程专业承包二级（含）及以上资质证书，及其有效的安全生产许可证。</w:t>
      </w:r>
    </w:p>
    <w:p>
      <w:pPr>
        <w:pStyle w:val="null3"/>
      </w:pPr>
      <w:r>
        <w:rPr>
          <w:rFonts w:ascii="仿宋_GB2312" w:hAnsi="仿宋_GB2312" w:cs="仿宋_GB2312" w:eastAsia="仿宋_GB2312"/>
        </w:rPr>
        <w:t>5、拟派项目负责人资质和专业要求：供应商拟派项目负责人需具备水利水电专业二级（含）及以上注册建造师证书或水利行业相关专业中级（含）及以上职称证书。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节水改造设备采购项目。具体详见本项目竞争性谈判文件。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422,000.00</w:t>
      </w:r>
    </w:p>
    <w:p>
      <w:pPr>
        <w:pStyle w:val="null3"/>
      </w:pPr>
      <w:r>
        <w:rPr>
          <w:rFonts w:ascii="仿宋_GB2312" w:hAnsi="仿宋_GB2312" w:cs="仿宋_GB2312" w:eastAsia="仿宋_GB2312"/>
        </w:rPr>
        <w:t>采购包最高限价（元）: 422,000.00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二标段：西安文理学院校园供水远程监测系统采购项目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标的名称：二标段：西安文理学院校园供水远程监测系统采购项目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3"/>
              <w:gridCol w:w="382"/>
              <w:gridCol w:w="1487"/>
              <w:gridCol w:w="234"/>
              <w:gridCol w:w="226"/>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一、管道在线计量设施</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序号</w:t>
                  </w:r>
                </w:p>
              </w:tc>
              <w:tc>
                <w:tcPr>
                  <w:tcW w:type="dxa" w:w="186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名称</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数量</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单位</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DN40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DN50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DN65</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r>
                    <w:rPr>
                      <w:rFonts w:ascii="仿宋_GB2312" w:hAnsi="仿宋_GB2312" w:cs="仿宋_GB2312" w:eastAsia="仿宋_GB2312"/>
                      <w:sz w:val="21"/>
                    </w:rPr>
                    <w:t>(</w:t>
                  </w:r>
                  <w:r>
                    <w:rPr>
                      <w:rFonts w:ascii="仿宋_GB2312" w:hAnsi="仿宋_GB2312" w:cs="仿宋_GB2312" w:eastAsia="仿宋_GB2312"/>
                      <w:sz w:val="21"/>
                    </w:rPr>
                    <w:t>高空作业</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214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DN65</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DN80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r>
                    <w:rPr>
                      <w:rFonts w:ascii="仿宋_GB2312" w:hAnsi="仿宋_GB2312" w:cs="仿宋_GB2312" w:eastAsia="仿宋_GB2312"/>
                      <w:sz w:val="21"/>
                    </w:rPr>
                    <w:t>(</w:t>
                  </w:r>
                  <w:r>
                    <w:rPr>
                      <w:rFonts w:ascii="仿宋_GB2312" w:hAnsi="仿宋_GB2312" w:cs="仿宋_GB2312" w:eastAsia="仿宋_GB2312"/>
                      <w:sz w:val="21"/>
                    </w:rPr>
                    <w:t>高空作业</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210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DN80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DN80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DN100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r>
                    <w:rPr>
                      <w:rFonts w:ascii="仿宋_GB2312" w:hAnsi="仿宋_GB2312" w:cs="仿宋_GB2312" w:eastAsia="仿宋_GB2312"/>
                      <w:sz w:val="21"/>
                    </w:rPr>
                    <w:t>(</w:t>
                  </w:r>
                  <w:r>
                    <w:rPr>
                      <w:rFonts w:ascii="仿宋_GB2312" w:hAnsi="仿宋_GB2312" w:cs="仿宋_GB2312" w:eastAsia="仿宋_GB2312"/>
                      <w:sz w:val="21"/>
                    </w:rPr>
                    <w:t>高空作业</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DN100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DN100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DN125</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7</w:t>
                  </w:r>
                </w:p>
              </w:tc>
              <w:tc>
                <w:tcPr>
                  <w:tcW w:type="dxa" w:w="3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DN150</w:t>
                  </w:r>
                  <w:r>
                    <w:rPr>
                      <w:rFonts w:ascii="仿宋_GB2312" w:hAnsi="仿宋_GB2312" w:cs="仿宋_GB2312" w:eastAsia="仿宋_GB2312"/>
                      <w:sz w:val="21"/>
                    </w:rPr>
                    <w:t>管道计量</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管道切割及法兰焊接，管道补充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电缆铺设（含破路及修复）</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m</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清淤</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NBIOT</w:t>
                  </w:r>
                  <w:r>
                    <w:rPr>
                      <w:rFonts w:ascii="仿宋_GB2312" w:hAnsi="仿宋_GB2312" w:cs="仿宋_GB2312" w:eastAsia="仿宋_GB2312"/>
                      <w:sz w:val="21"/>
                    </w:rPr>
                    <w:t>物联网智能冷水表（</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机械阀（</w:t>
                  </w:r>
                  <w:r>
                    <w:rPr>
                      <w:rFonts w:ascii="仿宋_GB2312" w:hAnsi="仿宋_GB2312" w:cs="仿宋_GB2312" w:eastAsia="仿宋_GB2312"/>
                      <w:sz w:val="21"/>
                    </w:rPr>
                    <w:t>DN150</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数据采集终端</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台</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物联网卡</w:t>
                  </w:r>
                  <w:r>
                    <w:rPr>
                      <w:rFonts w:ascii="仿宋_GB2312" w:hAnsi="仿宋_GB2312" w:cs="仿宋_GB2312" w:eastAsia="仿宋_GB2312"/>
                      <w:sz w:val="21"/>
                    </w:rPr>
                    <w:t>(</w:t>
                  </w:r>
                  <w:r>
                    <w:rPr>
                      <w:rFonts w:ascii="仿宋_GB2312" w:hAnsi="仿宋_GB2312" w:cs="仿宋_GB2312" w:eastAsia="仿宋_GB2312"/>
                      <w:sz w:val="21"/>
                    </w:rPr>
                    <w:t>数据</w:t>
                  </w:r>
                  <w:r>
                    <w:rPr>
                      <w:rFonts w:ascii="仿宋_GB2312" w:hAnsi="仿宋_GB2312" w:cs="仿宋_GB2312" w:eastAsia="仿宋_GB2312"/>
                      <w:sz w:val="21"/>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开关电源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监测箱</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箱体支架及固定</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电源防雷器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个</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接地系统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套</w:t>
                  </w:r>
                </w:p>
              </w:tc>
            </w:tr>
            <w:tr>
              <w:tc>
                <w:tcPr>
                  <w:tcW w:type="dxa" w:w="223"/>
                  <w:vMerge/>
                  <w:tcBorders>
                    <w:top w:val="none" w:color="000000" w:sz="4"/>
                    <w:left w:val="single" w:color="000000" w:sz="4"/>
                    <w:bottom w:val="single" w:color="000000" w:sz="4"/>
                    <w:right w:val="single" w:color="000000" w:sz="4"/>
                  </w:tcBorders>
                </w:tcPr>
                <w:p/>
              </w:tc>
              <w:tc>
                <w:tcPr>
                  <w:tcW w:type="dxa" w:w="382"/>
                  <w:vMerge/>
                  <w:tcBorders>
                    <w:top w:val="none" w:color="000000" w:sz="4"/>
                    <w:left w:val="none" w:color="000000" w:sz="4"/>
                    <w:bottom w:val="single" w:color="000000" w:sz="4"/>
                    <w:right w:val="single" w:color="000000" w:sz="4"/>
                  </w:tcBorders>
                </w:tcP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辅材</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二、软件平台</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86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阀门控制系统</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186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监控系统</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上表列明品牌或型号的，所列品牌或型号仅起参考作用，供应商可选用其他产品替代，但所替代产品要相当于或优于参考品牌或型号主要功能及其技术参数主要性能要求。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合同签订后25天内供货安装完毕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1.质量保修范围：本项目全部内容；2.质量保修期：3年；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具体详见买卖合同相应条款。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（1）、响应产品属于节能产品政府采购品目清单中应强制采购的产品范围，供应商应当提供国家确定的认证机构出具的、处于有效期之内的节能产品认证证书，否则作无效响应处理。 （2）、响应产品属于节能产品政府采购品目清单/环境标志产品政府采购品目清单中应优先采购的产品范围，响应报价相同的，按供应商提供的优先采购产品认证证书数量由多到少顺序排列。 （3）、技术、质量、成果标准：若有最新相关规范和标准，按照最新现行国家、省、市相关规范和标准执行，若技术参数中有过期或废止的规范和标准，不作为废标处理。 （4）、安全要求：本项目自成交单位签订合同之日起至提交全部成果验收合格之日止，成交单位将负责该项目实施过程中的人身安全、财产安全、环境安全，本项目实施过程中因成交单位原因造成的直接或间接损失，均由成交单位自行承担（实质性要求，单独提供承诺函，格式自拟）。 （5）、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本项目共分为两个合同包，采取按包号顺序定标兼投不兼中原则，按照合同包号顺序确定成交候选人(合同包1的第一成交候选人，不作为其余合同包的成交候选人推荐,以此类推)，同一家供应商不可同时成交多个合同包。 （7）、成交供应商在领取成交通知书前，需向采购代理机构提交加盖公章的纸质版响应文件三套，成交供应商应保持响应文件纸质版内容与系统上传内容完全一致，否则将承担一切法律责任。 （8）、本项目采购包2“中小企业声明函”中应将以下标的内容分别列出：NBIOT物联网智能冷水表（DN50）；机械阀（DN50）；数据采集终端；物联网卡(数据)；开关电源；监测箱；电源防雷器；电缆铺设（含破路及修复）；NBIOT物联网智能冷水表（DN65）；NBIOT物联网智能冷水表（DN80）；机械阀（DN80）；NBIOT物联网智能冷水表（DN100）；机械阀（DN100）；NBIOT物联网智能冷水表（DN150）；机械阀（DN150）；阀门控制系统；监控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投标文件截止时间前一年内至少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非联合体谈判声明</w:t>
            </w:r>
          </w:p>
        </w:tc>
        <w:tc>
          <w:tcPr>
            <w:tcW w:type="dxa" w:w="3322"/>
          </w:tcPr>
          <w:p>
            <w:pPr>
              <w:pStyle w:val="null3"/>
            </w:pPr>
            <w:r>
              <w:rPr>
                <w:rFonts w:ascii="仿宋_GB2312" w:hAnsi="仿宋_GB2312" w:cs="仿宋_GB2312" w:eastAsia="仿宋_GB2312"/>
              </w:rPr>
              <w:t>提交非联合体形式参加本项目谈判的声明函。供应商需在项目电子化交易系统中按要求上传相应证明文件并进行电子签章。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供应商须具备国家建设行政主管部门颁发的电子与智能化工程专业承包二级（含）及以上资质证书，及其有效的安全生产许可证。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供应商拟派项目负责人需具备水利水电专业二级（含）及以上注册建造师证书或水利行业相关专业中级（含）及以上职称证书。</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响应文件内容应全面响应谈判文件要求，且无未实质性响应及无效标的情形。</w:t>
            </w:r>
          </w:p>
        </w:tc>
        <w:tc>
          <w:tcPr>
            <w:tcW w:type="dxa" w:w="1661"/>
          </w:tcPr>
          <w:p>
            <w:pPr>
              <w:pStyle w:val="null3"/>
            </w:pPr>
            <w:r>
              <w:rPr>
                <w:rFonts w:ascii="仿宋_GB2312" w:hAnsi="仿宋_GB2312" w:cs="仿宋_GB2312" w:eastAsia="仿宋_GB2312"/>
              </w:rPr>
              <w:t>商务响应偏离表 技术参数偏离表 陕西省政府采购供应商拒绝政府采购领域商业贿赂承诺书 实施方案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供应商需在项目电子化交易系统中按要求填写《报价表》并进行电子签章。</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商务响应偏离表 中小企业声明函 资格证明材料 报价表 合同条款响应偏离表 响应文件封面 技术参数偏离表 其他资料 报价明细表 残疾人福利性单位声明函 标的清单 陕西省政府采购供应商拒绝政府采购领域商业贿赂承诺书 响应函 监狱企业的证明文件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