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42A9C">
      <w:pPr>
        <w:pStyle w:val="3"/>
        <w:numPr>
          <w:ilvl w:val="0"/>
          <w:numId w:val="0"/>
        </w:numPr>
        <w:spacing w:before="0" w:after="0" w:line="480" w:lineRule="auto"/>
        <w:jc w:val="center"/>
        <w:rPr>
          <w:rFonts w:hint="eastAsia" w:ascii="仿宋" w:hAnsi="仿宋" w:eastAsia="仿宋" w:cs="仿宋"/>
          <w:sz w:val="40"/>
          <w:szCs w:val="40"/>
          <w:highlight w:val="none"/>
        </w:rPr>
      </w:pPr>
      <w:bookmarkStart w:id="52" w:name="_GoBack"/>
      <w:r>
        <w:rPr>
          <w:rFonts w:hint="eastAsia" w:ascii="仿宋" w:hAnsi="仿宋" w:eastAsia="仿宋" w:cs="仿宋"/>
          <w:sz w:val="40"/>
          <w:szCs w:val="40"/>
          <w:highlight w:val="none"/>
        </w:rPr>
        <w:t>合同条款</w:t>
      </w:r>
      <w:r>
        <w:rPr>
          <w:rFonts w:hint="eastAsia" w:ascii="仿宋" w:hAnsi="仿宋" w:eastAsia="仿宋" w:cs="仿宋"/>
          <w:sz w:val="40"/>
          <w:szCs w:val="40"/>
          <w:highlight w:val="none"/>
          <w:lang w:val="en-US" w:eastAsia="zh-CN"/>
        </w:rPr>
        <w:t>及格式</w:t>
      </w:r>
    </w:p>
    <w:bookmarkEnd w:id="52"/>
    <w:p w14:paraId="4A55DA05">
      <w:pPr>
        <w:spacing w:line="440" w:lineRule="exact"/>
        <w:ind w:firstLine="480" w:firstLineChars="200"/>
        <w:rPr>
          <w:rFonts w:hint="eastAsia" w:ascii="仿宋" w:hAnsi="仿宋" w:eastAsia="仿宋" w:cs="仿宋"/>
          <w:sz w:val="24"/>
          <w:highlight w:val="none"/>
        </w:rPr>
      </w:pPr>
    </w:p>
    <w:p w14:paraId="33EF3626">
      <w:pPr>
        <w:pStyle w:val="9"/>
        <w:rPr>
          <w:rFonts w:hint="eastAsia" w:ascii="仿宋" w:hAnsi="仿宋" w:eastAsia="仿宋" w:cs="仿宋"/>
          <w:highlight w:val="none"/>
        </w:rPr>
      </w:pPr>
    </w:p>
    <w:p w14:paraId="0FEB0467">
      <w:pPr>
        <w:rPr>
          <w:rFonts w:hint="eastAsia" w:ascii="仿宋" w:hAnsi="仿宋" w:eastAsia="仿宋" w:cs="仿宋"/>
          <w:highlight w:val="none"/>
        </w:rPr>
      </w:pPr>
    </w:p>
    <w:p w14:paraId="7DFD0951">
      <w:pPr>
        <w:pStyle w:val="9"/>
        <w:rPr>
          <w:rFonts w:hint="eastAsia" w:ascii="仿宋" w:hAnsi="仿宋" w:eastAsia="仿宋" w:cs="仿宋"/>
          <w:highlight w:val="none"/>
        </w:rPr>
      </w:pPr>
    </w:p>
    <w:p w14:paraId="36462E41">
      <w:pPr>
        <w:rPr>
          <w:rFonts w:hint="eastAsia" w:ascii="仿宋" w:hAnsi="仿宋" w:eastAsia="仿宋" w:cs="仿宋"/>
          <w:highlight w:val="none"/>
        </w:rPr>
      </w:pPr>
    </w:p>
    <w:p w14:paraId="59C17DA9">
      <w:pPr>
        <w:bidi w:val="0"/>
        <w:jc w:val="center"/>
        <w:rPr>
          <w:rFonts w:hint="eastAsia" w:ascii="仿宋" w:hAnsi="仿宋" w:eastAsia="仿宋" w:cs="仿宋"/>
          <w:b/>
          <w:sz w:val="48"/>
          <w:szCs w:val="48"/>
          <w:highlight w:val="none"/>
          <w:lang w:val="en-US" w:eastAsia="zh-CN"/>
        </w:rPr>
      </w:pPr>
    </w:p>
    <w:p w14:paraId="7D241862">
      <w:pPr>
        <w:bidi w:val="0"/>
        <w:jc w:val="center"/>
        <w:rPr>
          <w:rFonts w:hint="eastAsia" w:ascii="仿宋" w:hAnsi="仿宋" w:eastAsia="仿宋" w:cs="仿宋"/>
          <w:b/>
          <w:bCs/>
          <w:sz w:val="44"/>
          <w:szCs w:val="44"/>
          <w:highlight w:val="none"/>
          <w:lang w:eastAsia="zh-CN"/>
        </w:rPr>
      </w:pPr>
      <w:r>
        <w:rPr>
          <w:rFonts w:hint="eastAsia" w:ascii="仿宋" w:hAnsi="仿宋" w:eastAsia="仿宋" w:cs="仿宋"/>
          <w:b/>
          <w:sz w:val="48"/>
          <w:szCs w:val="48"/>
          <w:highlight w:val="none"/>
          <w:lang w:val="en-US" w:eastAsia="zh-CN"/>
        </w:rPr>
        <w:t>“凝心聚力谱新篇 争做西安好网民”2025西安好网民工程活动项目</w:t>
      </w:r>
    </w:p>
    <w:p w14:paraId="6D1A7F84">
      <w:pPr>
        <w:pStyle w:val="9"/>
        <w:rPr>
          <w:rFonts w:hint="eastAsia" w:ascii="仿宋" w:hAnsi="仿宋" w:eastAsia="仿宋" w:cs="仿宋"/>
          <w:b/>
          <w:bCs/>
          <w:sz w:val="44"/>
          <w:szCs w:val="44"/>
          <w:highlight w:val="none"/>
          <w:lang w:eastAsia="zh-CN"/>
        </w:rPr>
      </w:pPr>
    </w:p>
    <w:p w14:paraId="269FF28E">
      <w:pPr>
        <w:pStyle w:val="9"/>
        <w:rPr>
          <w:rFonts w:hint="eastAsia" w:ascii="仿宋" w:hAnsi="仿宋" w:eastAsia="仿宋" w:cs="仿宋"/>
          <w:b/>
          <w:bCs/>
          <w:sz w:val="44"/>
          <w:szCs w:val="44"/>
          <w:highlight w:val="none"/>
          <w:lang w:eastAsia="zh-CN"/>
        </w:rPr>
      </w:pPr>
    </w:p>
    <w:p w14:paraId="6C100717">
      <w:pPr>
        <w:rPr>
          <w:rFonts w:hint="eastAsia" w:ascii="仿宋" w:hAnsi="仿宋" w:eastAsia="仿宋" w:cs="仿宋"/>
          <w:b/>
          <w:bCs/>
          <w:sz w:val="44"/>
          <w:szCs w:val="44"/>
          <w:highlight w:val="none"/>
          <w:lang w:eastAsia="zh-CN"/>
        </w:rPr>
      </w:pPr>
    </w:p>
    <w:p w14:paraId="7221D542">
      <w:pPr>
        <w:pStyle w:val="9"/>
        <w:rPr>
          <w:rFonts w:hint="eastAsia" w:ascii="仿宋" w:hAnsi="仿宋" w:eastAsia="仿宋" w:cs="仿宋"/>
          <w:b/>
          <w:bCs/>
          <w:sz w:val="44"/>
          <w:szCs w:val="44"/>
          <w:highlight w:val="none"/>
          <w:lang w:eastAsia="zh-CN"/>
        </w:rPr>
      </w:pPr>
    </w:p>
    <w:p w14:paraId="3BCB8B01">
      <w:pPr>
        <w:jc w:val="center"/>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服务合同</w:t>
      </w:r>
    </w:p>
    <w:p w14:paraId="78F6B031">
      <w:pPr>
        <w:pStyle w:val="9"/>
        <w:rPr>
          <w:rFonts w:hint="eastAsia" w:ascii="仿宋" w:hAnsi="仿宋" w:eastAsia="仿宋" w:cs="仿宋"/>
          <w:b/>
          <w:bCs/>
          <w:sz w:val="44"/>
          <w:szCs w:val="44"/>
          <w:highlight w:val="none"/>
          <w:lang w:val="en-US" w:eastAsia="zh-CN"/>
        </w:rPr>
      </w:pPr>
    </w:p>
    <w:p w14:paraId="5B465A8D">
      <w:pPr>
        <w:rPr>
          <w:rFonts w:hint="eastAsia" w:ascii="仿宋" w:hAnsi="仿宋" w:eastAsia="仿宋" w:cs="仿宋"/>
          <w:b/>
          <w:bCs/>
          <w:sz w:val="44"/>
          <w:szCs w:val="44"/>
          <w:highlight w:val="none"/>
          <w:lang w:val="en-US" w:eastAsia="zh-CN"/>
        </w:rPr>
      </w:pPr>
    </w:p>
    <w:p w14:paraId="5CF4519A">
      <w:pPr>
        <w:pStyle w:val="9"/>
        <w:rPr>
          <w:rFonts w:hint="eastAsia" w:ascii="仿宋" w:hAnsi="仿宋" w:eastAsia="仿宋" w:cs="仿宋"/>
          <w:b/>
          <w:bCs/>
          <w:sz w:val="44"/>
          <w:szCs w:val="44"/>
          <w:highlight w:val="none"/>
          <w:lang w:val="en-US" w:eastAsia="zh-CN"/>
        </w:rPr>
      </w:pPr>
    </w:p>
    <w:p w14:paraId="09D6CDCE">
      <w:pPr>
        <w:rPr>
          <w:rFonts w:hint="eastAsia" w:ascii="仿宋" w:hAnsi="仿宋" w:eastAsia="仿宋" w:cs="仿宋"/>
          <w:highlight w:val="none"/>
          <w:lang w:val="en-US" w:eastAsia="zh-CN"/>
        </w:rPr>
      </w:pPr>
    </w:p>
    <w:p w14:paraId="1FDBE9B4">
      <w:pPr>
        <w:pStyle w:val="9"/>
        <w:rPr>
          <w:rFonts w:hint="eastAsia" w:ascii="仿宋" w:hAnsi="仿宋" w:eastAsia="仿宋" w:cs="仿宋"/>
          <w:b/>
          <w:bCs/>
          <w:sz w:val="44"/>
          <w:szCs w:val="44"/>
          <w:highlight w:val="none"/>
          <w:lang w:val="en-US" w:eastAsia="zh-CN"/>
        </w:rPr>
      </w:pPr>
    </w:p>
    <w:p w14:paraId="35BF78BC">
      <w:pPr>
        <w:spacing w:line="500" w:lineRule="exact"/>
        <w:ind w:firstLine="1120" w:firstLineChars="4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合  同  编  号：</w:t>
      </w:r>
    </w:p>
    <w:p w14:paraId="247FE1D9">
      <w:pPr>
        <w:spacing w:line="500" w:lineRule="exact"/>
        <w:ind w:firstLine="1120" w:firstLineChars="400"/>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项  目  名  称：</w:t>
      </w:r>
    </w:p>
    <w:p w14:paraId="4EA8246A">
      <w:pPr>
        <w:spacing w:line="500" w:lineRule="exact"/>
        <w:ind w:firstLine="1120" w:firstLineChars="400"/>
        <w:rPr>
          <w:rFonts w:hint="eastAsia" w:ascii="仿宋" w:hAnsi="仿宋" w:eastAsia="仿宋" w:cs="仿宋"/>
          <w:sz w:val="28"/>
          <w:szCs w:val="28"/>
          <w:highlight w:val="none"/>
        </w:rPr>
      </w:pPr>
      <w:r>
        <w:rPr>
          <w:rFonts w:hint="eastAsia" w:ascii="仿宋" w:hAnsi="仿宋" w:eastAsia="仿宋" w:cs="仿宋"/>
          <w:sz w:val="28"/>
          <w:szCs w:val="28"/>
          <w:highlight w:val="none"/>
        </w:rPr>
        <w:t>采购人（</w:t>
      </w:r>
      <w:r>
        <w:rPr>
          <w:rFonts w:hint="eastAsia" w:ascii="仿宋" w:hAnsi="仿宋" w:eastAsia="仿宋" w:cs="仿宋"/>
          <w:sz w:val="28"/>
          <w:szCs w:val="28"/>
          <w:highlight w:val="none"/>
          <w:lang w:eastAsia="zh-CN"/>
        </w:rPr>
        <w:t>甲方</w:t>
      </w:r>
      <w:r>
        <w:rPr>
          <w:rFonts w:hint="eastAsia" w:ascii="仿宋" w:hAnsi="仿宋" w:eastAsia="仿宋" w:cs="仿宋"/>
          <w:sz w:val="28"/>
          <w:szCs w:val="28"/>
          <w:highlight w:val="none"/>
        </w:rPr>
        <w:t>）：</w:t>
      </w:r>
    </w:p>
    <w:p w14:paraId="4818CCC0">
      <w:pPr>
        <w:spacing w:line="500" w:lineRule="exact"/>
        <w:ind w:firstLine="1120" w:firstLineChars="400"/>
        <w:rPr>
          <w:rFonts w:hint="eastAsia" w:ascii="仿宋" w:hAnsi="仿宋" w:eastAsia="仿宋" w:cs="仿宋"/>
          <w:sz w:val="28"/>
          <w:szCs w:val="28"/>
          <w:highlight w:val="none"/>
        </w:rPr>
      </w:pPr>
      <w:r>
        <w:rPr>
          <w:rFonts w:hint="eastAsia" w:ascii="仿宋" w:hAnsi="仿宋" w:eastAsia="仿宋" w:cs="仿宋"/>
          <w:sz w:val="28"/>
          <w:szCs w:val="28"/>
          <w:highlight w:val="none"/>
        </w:rPr>
        <w:t>成交人（</w:t>
      </w:r>
      <w:r>
        <w:rPr>
          <w:rFonts w:hint="eastAsia" w:ascii="仿宋" w:hAnsi="仿宋" w:eastAsia="仿宋" w:cs="仿宋"/>
          <w:sz w:val="28"/>
          <w:szCs w:val="28"/>
          <w:highlight w:val="none"/>
          <w:lang w:val="en-US" w:eastAsia="zh-CN"/>
        </w:rPr>
        <w:t>乙</w:t>
      </w:r>
      <w:r>
        <w:rPr>
          <w:rFonts w:hint="eastAsia" w:ascii="仿宋" w:hAnsi="仿宋" w:eastAsia="仿宋" w:cs="仿宋"/>
          <w:sz w:val="28"/>
          <w:szCs w:val="28"/>
          <w:highlight w:val="none"/>
        </w:rPr>
        <w:t>方）：</w:t>
      </w:r>
    </w:p>
    <w:p w14:paraId="0047B9D9">
      <w:pPr>
        <w:spacing w:line="500" w:lineRule="exact"/>
        <w:ind w:firstLine="1120" w:firstLineChars="400"/>
        <w:rPr>
          <w:rFonts w:hint="eastAsia" w:ascii="仿宋" w:hAnsi="仿宋" w:eastAsia="仿宋" w:cs="仿宋"/>
          <w:sz w:val="28"/>
          <w:szCs w:val="28"/>
          <w:highlight w:val="none"/>
        </w:rPr>
      </w:pPr>
      <w:r>
        <w:rPr>
          <w:rFonts w:hint="eastAsia" w:ascii="仿宋" w:hAnsi="仿宋" w:eastAsia="仿宋" w:cs="仿宋"/>
          <w:sz w:val="28"/>
          <w:szCs w:val="28"/>
          <w:highlight w:val="none"/>
        </w:rPr>
        <w:t>签</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订</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地</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 xml:space="preserve">点： </w:t>
      </w:r>
    </w:p>
    <w:p w14:paraId="2D386791">
      <w:pPr>
        <w:spacing w:line="500" w:lineRule="exact"/>
        <w:ind w:firstLine="1120" w:firstLineChars="400"/>
        <w:rPr>
          <w:rFonts w:hint="eastAsia" w:ascii="仿宋" w:hAnsi="仿宋" w:eastAsia="仿宋" w:cs="仿宋"/>
          <w:color w:val="000000"/>
          <w:sz w:val="28"/>
          <w:szCs w:val="28"/>
          <w:highlight w:val="none"/>
        </w:rPr>
      </w:pPr>
      <w:r>
        <w:rPr>
          <w:rFonts w:hint="eastAsia" w:ascii="仿宋" w:hAnsi="仿宋" w:eastAsia="仿宋" w:cs="仿宋"/>
          <w:sz w:val="28"/>
          <w:szCs w:val="28"/>
          <w:highlight w:val="none"/>
        </w:rPr>
        <w:t>签</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订</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时</w:t>
      </w:r>
      <w:r>
        <w:rPr>
          <w:rFonts w:hint="eastAsia" w:ascii="仿宋" w:hAnsi="仿宋" w:eastAsia="仿宋" w:cs="仿宋"/>
          <w:sz w:val="28"/>
          <w:szCs w:val="28"/>
          <w:highlight w:val="none"/>
          <w:lang w:val="en-US" w:eastAsia="zh-CN"/>
        </w:rPr>
        <w:t xml:space="preserve">  </w:t>
      </w:r>
      <w:r>
        <w:rPr>
          <w:rFonts w:hint="eastAsia" w:ascii="仿宋" w:hAnsi="仿宋" w:eastAsia="仿宋" w:cs="仿宋"/>
          <w:sz w:val="28"/>
          <w:szCs w:val="28"/>
          <w:highlight w:val="none"/>
        </w:rPr>
        <w:t>间：</w:t>
      </w:r>
    </w:p>
    <w:p w14:paraId="185DA604">
      <w:pPr>
        <w:pStyle w:val="9"/>
        <w:rPr>
          <w:rFonts w:hint="eastAsia" w:ascii="仿宋" w:hAnsi="仿宋" w:eastAsia="仿宋" w:cs="仿宋"/>
          <w:highlight w:val="none"/>
        </w:rPr>
        <w:sectPr>
          <w:footerReference r:id="rId3" w:type="default"/>
          <w:pgSz w:w="11907" w:h="16840"/>
          <w:pgMar w:top="1418" w:right="1417" w:bottom="1417" w:left="1417" w:header="907" w:footer="654" w:gutter="0"/>
          <w:cols w:space="720" w:num="1"/>
          <w:titlePg/>
          <w:docGrid w:linePitch="312" w:charSpace="0"/>
        </w:sectPr>
      </w:pPr>
    </w:p>
    <w:p w14:paraId="07EEDC05">
      <w:pPr>
        <w:pStyle w:val="10"/>
        <w:keepNext w:val="0"/>
        <w:keepLines w:val="0"/>
        <w:pageBreakBefore w:val="0"/>
        <w:kinsoku/>
        <w:wordWrap/>
        <w:overflowPunct/>
        <w:topLinePunct w:val="0"/>
        <w:autoSpaceDE/>
        <w:autoSpaceDN/>
        <w:bidi w:val="0"/>
        <w:adjustRightInd w:val="0"/>
        <w:snapToGrid w:val="0"/>
        <w:spacing w:line="360" w:lineRule="auto"/>
        <w:ind w:firstLine="210"/>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（本格式条款供双方签订合同参考，采购人可根据项目的实际情况增减条款和内容（实质性条款除外））</w:t>
      </w:r>
    </w:p>
    <w:p w14:paraId="5D9AC389">
      <w:pPr>
        <w:pStyle w:val="16"/>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根据《中华人民共和国政府采购法》及实施条例、《中华人民共和国民法典》和</w:t>
      </w:r>
      <w:r>
        <w:rPr>
          <w:rFonts w:hint="eastAsia" w:ascii="仿宋" w:hAnsi="仿宋" w:eastAsia="仿宋" w:cs="仿宋"/>
          <w:color w:val="000000"/>
          <w:sz w:val="24"/>
          <w:szCs w:val="24"/>
          <w:highlight w:val="none"/>
          <w:u w:val="single"/>
          <w:lang w:val="en-US" w:eastAsia="zh-CN"/>
        </w:rPr>
        <w:t>“凝心聚力谱新篇 争做西安好网民”2025西安好网民工程活动项目</w:t>
      </w:r>
      <w:r>
        <w:rPr>
          <w:rFonts w:hint="eastAsia" w:ascii="仿宋" w:hAnsi="仿宋" w:eastAsia="仿宋" w:cs="仿宋"/>
          <w:color w:val="000000"/>
          <w:sz w:val="24"/>
          <w:szCs w:val="24"/>
          <w:highlight w:val="none"/>
        </w:rPr>
        <w:t>（采购项目编号</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lang w:val="en-US" w:eastAsia="zh-CN"/>
        </w:rPr>
        <w:t>采购包号及名称：</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rPr>
        <w:t>）的采购文件、响应文件等有关规定，为确保甲方采购项目的顺利实施，甲、乙双方在平等自愿原则下签订本合同，并共同遵守如下条款，其主要要求如下：</w:t>
      </w:r>
    </w:p>
    <w:p w14:paraId="296DBB63">
      <w:pPr>
        <w:keepNext w:val="0"/>
        <w:keepLines w:val="0"/>
        <w:pageBreakBefore w:val="0"/>
        <w:kinsoku/>
        <w:wordWrap/>
        <w:overflowPunct/>
        <w:topLinePunct w:val="0"/>
        <w:autoSpaceDE/>
        <w:autoSpaceDN/>
        <w:bidi w:val="0"/>
        <w:adjustRightInd w:val="0"/>
        <w:snapToGrid w:val="0"/>
        <w:spacing w:line="360" w:lineRule="auto"/>
        <w:ind w:left="425"/>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第一条   合同标的及合同价</w:t>
      </w:r>
    </w:p>
    <w:p w14:paraId="680EB18D">
      <w:pPr>
        <w:keepNext w:val="0"/>
        <w:keepLines w:val="0"/>
        <w:pageBreakBefore w:val="0"/>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1、合同标的及标的物</w:t>
      </w:r>
    </w:p>
    <w:p w14:paraId="6ED6DB9A">
      <w:pPr>
        <w:keepNext w:val="0"/>
        <w:keepLines w:val="0"/>
        <w:pageBreakBefore w:val="0"/>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u w:val="single"/>
          <w:lang w:val="en-US" w:eastAsia="zh-CN"/>
        </w:rPr>
      </w:pPr>
      <w:r>
        <w:rPr>
          <w:rFonts w:hint="eastAsia" w:ascii="仿宋" w:hAnsi="仿宋" w:eastAsia="仿宋" w:cs="仿宋"/>
          <w:color w:val="000000"/>
          <w:sz w:val="24"/>
          <w:szCs w:val="24"/>
          <w:highlight w:val="none"/>
          <w:lang w:val="en-US" w:eastAsia="zh-CN"/>
        </w:rPr>
        <w:t>项目名称：</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none"/>
          <w:lang w:val="en-US" w:eastAsia="zh-CN"/>
        </w:rPr>
        <w:t>，采购名称：</w:t>
      </w:r>
      <w:r>
        <w:rPr>
          <w:rFonts w:hint="eastAsia" w:ascii="仿宋" w:hAnsi="仿宋" w:eastAsia="仿宋" w:cs="仿宋"/>
          <w:color w:val="000000"/>
          <w:sz w:val="24"/>
          <w:szCs w:val="24"/>
          <w:highlight w:val="none"/>
          <w:u w:val="single"/>
          <w:lang w:val="en-US" w:eastAsia="zh-CN"/>
        </w:rPr>
        <w:t xml:space="preserve">              </w:t>
      </w:r>
    </w:p>
    <w:p w14:paraId="19C161D9">
      <w:pPr>
        <w:keepNext w:val="0"/>
        <w:keepLines w:val="0"/>
        <w:pageBreakBefore w:val="0"/>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2、合同价</w:t>
      </w:r>
    </w:p>
    <w:p w14:paraId="1F3311DF">
      <w:pPr>
        <w:keepNext w:val="0"/>
        <w:keepLines w:val="0"/>
        <w:pageBreakBefore w:val="0"/>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u w:val="none"/>
        </w:rPr>
      </w:pPr>
      <w:r>
        <w:rPr>
          <w:rFonts w:hint="eastAsia" w:ascii="仿宋" w:hAnsi="仿宋" w:eastAsia="仿宋" w:cs="仿宋"/>
          <w:color w:val="000000"/>
          <w:sz w:val="24"/>
          <w:szCs w:val="24"/>
          <w:highlight w:val="none"/>
          <w:u w:val="none"/>
        </w:rPr>
        <w:t>人民币大写：</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none"/>
        </w:rPr>
        <w:t>，</w:t>
      </w:r>
      <w:r>
        <w:rPr>
          <w:rFonts w:hint="eastAsia" w:ascii="仿宋" w:hAnsi="仿宋" w:eastAsia="仿宋" w:cs="仿宋"/>
          <w:color w:val="000000"/>
          <w:sz w:val="24"/>
          <w:szCs w:val="24"/>
          <w:highlight w:val="none"/>
          <w:u w:val="none"/>
          <w:lang w:val="en-US" w:eastAsia="zh-CN"/>
        </w:rPr>
        <w:t xml:space="preserve"> </w:t>
      </w:r>
      <w:r>
        <w:rPr>
          <w:rFonts w:hint="eastAsia" w:ascii="仿宋" w:hAnsi="仿宋" w:eastAsia="仿宋" w:cs="仿宋"/>
          <w:color w:val="000000"/>
          <w:sz w:val="24"/>
          <w:szCs w:val="24"/>
          <w:highlight w:val="none"/>
          <w:u w:val="none"/>
        </w:rPr>
        <w:t>人民币小写：</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single"/>
          <w:lang w:val="en-US" w:eastAsia="zh-CN"/>
        </w:rPr>
        <w:t xml:space="preserve">     </w:t>
      </w:r>
      <w:r>
        <w:rPr>
          <w:rFonts w:hint="eastAsia" w:ascii="仿宋" w:hAnsi="仿宋" w:eastAsia="仿宋" w:cs="仿宋"/>
          <w:color w:val="000000"/>
          <w:sz w:val="24"/>
          <w:szCs w:val="24"/>
          <w:highlight w:val="none"/>
          <w:u w:val="single"/>
        </w:rPr>
        <w:t xml:space="preserve">   </w:t>
      </w:r>
      <w:r>
        <w:rPr>
          <w:rFonts w:hint="eastAsia" w:ascii="仿宋" w:hAnsi="仿宋" w:eastAsia="仿宋" w:cs="仿宋"/>
          <w:color w:val="000000"/>
          <w:sz w:val="24"/>
          <w:szCs w:val="24"/>
          <w:highlight w:val="none"/>
          <w:u w:val="none"/>
        </w:rPr>
        <w:t>。</w:t>
      </w:r>
    </w:p>
    <w:p w14:paraId="66DC323F">
      <w:pPr>
        <w:keepNext w:val="0"/>
        <w:keepLines w:val="0"/>
        <w:pageBreakBefore w:val="0"/>
        <w:numPr>
          <w:ilvl w:val="0"/>
          <w:numId w:val="1"/>
        </w:numPr>
        <w:kinsoku/>
        <w:wordWrap/>
        <w:overflowPunct/>
        <w:topLinePunct w:val="0"/>
        <w:autoSpaceDE/>
        <w:autoSpaceDN/>
        <w:bidi w:val="0"/>
        <w:adjustRightInd w:val="0"/>
        <w:snapToGrid w:val="0"/>
        <w:spacing w:line="360" w:lineRule="auto"/>
        <w:ind w:left="425"/>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 xml:space="preserve">  服务期限</w:t>
      </w:r>
    </w:p>
    <w:p w14:paraId="0E2DCE95">
      <w:pPr>
        <w:keepNext w:val="0"/>
        <w:keepLines w:val="0"/>
        <w:pageBreakBefore w:val="0"/>
        <w:kinsoku/>
        <w:wordWrap/>
        <w:overflowPunct/>
        <w:topLinePunct w:val="0"/>
        <w:autoSpaceDE/>
        <w:autoSpaceDN/>
        <w:bidi w:val="0"/>
        <w:adjustRightInd w:val="0"/>
        <w:snapToGrid w:val="0"/>
        <w:spacing w:line="360" w:lineRule="auto"/>
        <w:ind w:left="425"/>
        <w:rPr>
          <w:rFonts w:hint="eastAsia" w:ascii="仿宋" w:hAnsi="仿宋" w:eastAsia="仿宋" w:cs="仿宋"/>
          <w:b/>
          <w:color w:val="000000"/>
          <w:sz w:val="24"/>
          <w:szCs w:val="24"/>
          <w:highlight w:val="none"/>
        </w:rPr>
      </w:pPr>
      <w:bookmarkStart w:id="0" w:name="_Toc225670751"/>
      <w:bookmarkStart w:id="1" w:name="_Toc185395249"/>
      <w:bookmarkStart w:id="2" w:name="_Toc283019214"/>
      <w:bookmarkStart w:id="3" w:name="_Toc247334841"/>
      <w:bookmarkStart w:id="4" w:name="_Toc211854449"/>
      <w:bookmarkStart w:id="5" w:name="_Toc241833903"/>
      <w:bookmarkStart w:id="6" w:name="_Toc238984975"/>
      <w:bookmarkStart w:id="7" w:name="_Toc286993786"/>
      <w:bookmarkStart w:id="8" w:name="_Toc251768862"/>
      <w:bookmarkStart w:id="9" w:name="_Toc239568418"/>
      <w:bookmarkStart w:id="10" w:name="_Toc237145406"/>
      <w:bookmarkStart w:id="11" w:name="_Toc212019594"/>
      <w:bookmarkStart w:id="12" w:name="_Toc232492928"/>
      <w:bookmarkStart w:id="13" w:name="_Toc282696226"/>
      <w:bookmarkStart w:id="14" w:name="_Toc239233914"/>
      <w:bookmarkStart w:id="15" w:name="_Toc225244852"/>
      <w:bookmarkStart w:id="16" w:name="_Toc211911348"/>
      <w:bookmarkStart w:id="17" w:name="_Toc225654644"/>
      <w:r>
        <w:rPr>
          <w:rFonts w:hint="eastAsia" w:ascii="仿宋" w:hAnsi="仿宋" w:eastAsia="仿宋" w:cs="仿宋"/>
          <w:color w:val="000000"/>
          <w:sz w:val="24"/>
          <w:szCs w:val="24"/>
          <w:highlight w:val="none"/>
          <w:u w:val="single"/>
          <w:lang w:val="en-US" w:eastAsia="zh-CN"/>
        </w:rPr>
        <w:t xml:space="preserve">            </w:t>
      </w:r>
    </w:p>
    <w:p w14:paraId="067F96EB">
      <w:pPr>
        <w:keepNext w:val="0"/>
        <w:keepLines w:val="0"/>
        <w:pageBreakBefore w:val="0"/>
        <w:kinsoku/>
        <w:wordWrap/>
        <w:overflowPunct/>
        <w:topLinePunct w:val="0"/>
        <w:autoSpaceDE/>
        <w:autoSpaceDN/>
        <w:bidi w:val="0"/>
        <w:adjustRightInd w:val="0"/>
        <w:snapToGrid w:val="0"/>
        <w:spacing w:line="360" w:lineRule="auto"/>
        <w:ind w:left="425"/>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第三条   服务内容</w:t>
      </w:r>
    </w:p>
    <w:p w14:paraId="68B6F6BB">
      <w:pPr>
        <w:keepNext w:val="0"/>
        <w:keepLines w:val="0"/>
        <w:pageBreakBefore w:val="0"/>
        <w:kinsoku/>
        <w:wordWrap/>
        <w:overflowPunct/>
        <w:topLinePunct w:val="0"/>
        <w:autoSpaceDE/>
        <w:autoSpaceDN/>
        <w:bidi w:val="0"/>
        <w:adjustRightInd w:val="0"/>
        <w:snapToGrid w:val="0"/>
        <w:spacing w:line="360" w:lineRule="auto"/>
        <w:ind w:left="425" w:firstLine="240" w:firstLineChars="1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具体内容以磋商文件“第三章 磋商项目技术、服务、商务及其他要求”以及成交供应商“磋商响应文件”为准。</w:t>
      </w:r>
    </w:p>
    <w:p w14:paraId="69FDA6BB">
      <w:pPr>
        <w:keepNext w:val="0"/>
        <w:keepLines w:val="0"/>
        <w:pageBreakBefore w:val="0"/>
        <w:kinsoku/>
        <w:wordWrap/>
        <w:overflowPunct/>
        <w:topLinePunct w:val="0"/>
        <w:autoSpaceDE/>
        <w:autoSpaceDN/>
        <w:bidi w:val="0"/>
        <w:adjustRightInd w:val="0"/>
        <w:snapToGrid w:val="0"/>
        <w:spacing w:line="360" w:lineRule="auto"/>
        <w:ind w:left="425"/>
        <w:rPr>
          <w:rFonts w:hint="eastAsia" w:ascii="仿宋" w:hAnsi="仿宋" w:eastAsia="仿宋" w:cs="仿宋"/>
          <w:b/>
          <w:sz w:val="24"/>
          <w:szCs w:val="24"/>
          <w:highlight w:val="none"/>
        </w:rPr>
      </w:pPr>
      <w:r>
        <w:rPr>
          <w:rFonts w:hint="eastAsia" w:ascii="仿宋" w:hAnsi="仿宋" w:eastAsia="仿宋" w:cs="仿宋"/>
          <w:b/>
          <w:sz w:val="24"/>
          <w:szCs w:val="24"/>
          <w:highlight w:val="none"/>
        </w:rPr>
        <w:t>第四条   付款方式和程序</w:t>
      </w:r>
    </w:p>
    <w:p w14:paraId="134BC576">
      <w:pPr>
        <w:keepNext w:val="0"/>
        <w:keepLines w:val="0"/>
        <w:pageBreakBefore w:val="0"/>
        <w:tabs>
          <w:tab w:val="left" w:pos="669"/>
        </w:tabs>
        <w:kinsoku/>
        <w:wordWrap/>
        <w:overflowPunct/>
        <w:topLinePunct w:val="0"/>
        <w:autoSpaceDE/>
        <w:autoSpaceDN/>
        <w:bidi w:val="0"/>
        <w:adjustRightInd w:val="0"/>
        <w:snapToGrid w:val="0"/>
        <w:spacing w:line="360" w:lineRule="auto"/>
        <w:ind w:left="-426" w:firstLine="960" w:firstLineChars="400"/>
        <w:rPr>
          <w:rFonts w:hint="eastAsia" w:ascii="仿宋" w:hAnsi="仿宋" w:eastAsia="仿宋" w:cs="仿宋"/>
          <w:bCs/>
          <w:sz w:val="24"/>
          <w:szCs w:val="24"/>
          <w:highlight w:val="none"/>
        </w:rPr>
      </w:pPr>
      <w:r>
        <w:rPr>
          <w:rFonts w:hint="eastAsia" w:ascii="仿宋" w:hAnsi="仿宋" w:eastAsia="仿宋" w:cs="仿宋"/>
          <w:bCs/>
          <w:sz w:val="24"/>
          <w:szCs w:val="24"/>
          <w:highlight w:val="none"/>
        </w:rPr>
        <w:t>1、按下列比例支付价款：</w:t>
      </w:r>
    </w:p>
    <w:p w14:paraId="434867B4">
      <w:pPr>
        <w:keepNext w:val="0"/>
        <w:keepLines w:val="0"/>
        <w:pageBreakBefore w:val="0"/>
        <w:tabs>
          <w:tab w:val="left" w:pos="669"/>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1</w:t>
      </w:r>
      <w:r>
        <w:rPr>
          <w:rFonts w:hint="eastAsia" w:ascii="仿宋" w:hAnsi="仿宋" w:eastAsia="仿宋" w:cs="仿宋"/>
          <w:bCs/>
          <w:sz w:val="24"/>
          <w:szCs w:val="24"/>
          <w:highlight w:val="none"/>
          <w:lang w:eastAsia="zh-CN"/>
        </w:rPr>
        <w:t>）合同签订且供应商开具增值税正式发票后</w:t>
      </w:r>
      <w:r>
        <w:rPr>
          <w:rFonts w:hint="eastAsia" w:ascii="仿宋" w:hAnsi="仿宋" w:eastAsia="仿宋" w:cs="仿宋"/>
          <w:bCs/>
          <w:sz w:val="24"/>
          <w:szCs w:val="24"/>
          <w:highlight w:val="none"/>
        </w:rPr>
        <w:t xml:space="preserve">，达到付款条件起 </w:t>
      </w:r>
      <w:r>
        <w:rPr>
          <w:rFonts w:hint="eastAsia" w:ascii="仿宋" w:hAnsi="仿宋" w:eastAsia="仿宋" w:cs="仿宋"/>
          <w:bCs/>
          <w:sz w:val="24"/>
          <w:szCs w:val="24"/>
          <w:highlight w:val="none"/>
          <w:lang w:val="en-US" w:eastAsia="zh-CN"/>
        </w:rPr>
        <w:t>14</w:t>
      </w:r>
      <w:r>
        <w:rPr>
          <w:rFonts w:hint="eastAsia" w:ascii="仿宋" w:hAnsi="仿宋" w:eastAsia="仿宋" w:cs="仿宋"/>
          <w:bCs/>
          <w:sz w:val="24"/>
          <w:szCs w:val="24"/>
          <w:highlight w:val="none"/>
        </w:rPr>
        <w:t xml:space="preserve"> 日内，支付合同总金额的 </w:t>
      </w:r>
      <w:r>
        <w:rPr>
          <w:rFonts w:hint="eastAsia" w:ascii="仿宋" w:hAnsi="仿宋" w:eastAsia="仿宋" w:cs="仿宋"/>
          <w:bCs/>
          <w:sz w:val="24"/>
          <w:szCs w:val="24"/>
          <w:highlight w:val="none"/>
          <w:lang w:val="en-US" w:eastAsia="zh-CN"/>
        </w:rPr>
        <w:t>8</w:t>
      </w:r>
      <w:r>
        <w:rPr>
          <w:rFonts w:hint="eastAsia" w:ascii="仿宋" w:hAnsi="仿宋" w:eastAsia="仿宋" w:cs="仿宋"/>
          <w:bCs/>
          <w:sz w:val="24"/>
          <w:szCs w:val="24"/>
          <w:highlight w:val="none"/>
        </w:rPr>
        <w:t>0.00%。</w:t>
      </w:r>
    </w:p>
    <w:p w14:paraId="2CA04C2B">
      <w:pPr>
        <w:keepNext w:val="0"/>
        <w:keepLines w:val="0"/>
        <w:pageBreakBefore w:val="0"/>
        <w:tabs>
          <w:tab w:val="left" w:pos="669"/>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lang w:val="en-US" w:eastAsia="zh-CN"/>
        </w:rPr>
        <w:t>2）合作结束后供应商提供结案报告，经市委网信办验收合格出具验收报告和绩效目标后</w:t>
      </w:r>
      <w:r>
        <w:rPr>
          <w:rFonts w:hint="eastAsia" w:ascii="仿宋" w:hAnsi="仿宋" w:eastAsia="仿宋" w:cs="仿宋"/>
          <w:bCs/>
          <w:sz w:val="24"/>
          <w:szCs w:val="24"/>
          <w:highlight w:val="none"/>
          <w:lang w:eastAsia="zh-CN"/>
        </w:rPr>
        <w:t xml:space="preserve">，达到付款条件起 </w:t>
      </w:r>
      <w:r>
        <w:rPr>
          <w:rFonts w:hint="eastAsia" w:ascii="仿宋" w:hAnsi="仿宋" w:eastAsia="仿宋" w:cs="仿宋"/>
          <w:bCs/>
          <w:sz w:val="24"/>
          <w:szCs w:val="24"/>
          <w:highlight w:val="none"/>
          <w:lang w:val="en-US" w:eastAsia="zh-CN"/>
        </w:rPr>
        <w:t>4</w:t>
      </w:r>
      <w:r>
        <w:rPr>
          <w:rFonts w:hint="eastAsia" w:ascii="仿宋" w:hAnsi="仿宋" w:eastAsia="仿宋" w:cs="仿宋"/>
          <w:bCs/>
          <w:sz w:val="24"/>
          <w:szCs w:val="24"/>
          <w:highlight w:val="none"/>
          <w:lang w:eastAsia="zh-CN"/>
        </w:rPr>
        <w:t>0 日内，支付合同总金额的</w:t>
      </w:r>
      <w:r>
        <w:rPr>
          <w:rFonts w:hint="eastAsia" w:ascii="仿宋" w:hAnsi="仿宋" w:eastAsia="仿宋" w:cs="仿宋"/>
          <w:bCs/>
          <w:sz w:val="24"/>
          <w:szCs w:val="24"/>
          <w:highlight w:val="none"/>
          <w:lang w:val="en-US" w:eastAsia="zh-CN"/>
        </w:rPr>
        <w:t>2</w:t>
      </w:r>
      <w:r>
        <w:rPr>
          <w:rFonts w:hint="eastAsia" w:ascii="仿宋" w:hAnsi="仿宋" w:eastAsia="仿宋" w:cs="仿宋"/>
          <w:bCs/>
          <w:sz w:val="24"/>
          <w:szCs w:val="24"/>
          <w:highlight w:val="none"/>
          <w:lang w:eastAsia="zh-CN"/>
        </w:rPr>
        <w:t>0.00%。</w:t>
      </w:r>
    </w:p>
    <w:p w14:paraId="37589449">
      <w:pPr>
        <w:keepNext w:val="0"/>
        <w:keepLines w:val="0"/>
        <w:pageBreakBefore w:val="0"/>
        <w:tabs>
          <w:tab w:val="left" w:pos="669"/>
        </w:tabs>
        <w:kinsoku/>
        <w:wordWrap/>
        <w:overflowPunct/>
        <w:topLinePunct w:val="0"/>
        <w:autoSpaceDE/>
        <w:autoSpaceDN/>
        <w:bidi w:val="0"/>
        <w:adjustRightInd w:val="0"/>
        <w:snapToGrid w:val="0"/>
        <w:spacing w:line="360" w:lineRule="auto"/>
        <w:ind w:left="468" w:leftChars="223" w:firstLine="0" w:firstLineChars="0"/>
        <w:rPr>
          <w:rFonts w:hint="eastAsia" w:ascii="仿宋" w:hAnsi="仿宋" w:eastAsia="仿宋" w:cs="仿宋"/>
          <w:bCs/>
          <w:sz w:val="24"/>
          <w:szCs w:val="24"/>
          <w:highlight w:val="none"/>
        </w:rPr>
      </w:pPr>
      <w:r>
        <w:rPr>
          <w:rFonts w:hint="eastAsia" w:ascii="仿宋" w:hAnsi="仿宋" w:eastAsia="仿宋" w:cs="仿宋"/>
          <w:bCs/>
          <w:sz w:val="24"/>
          <w:szCs w:val="24"/>
          <w:highlight w:val="none"/>
        </w:rPr>
        <w:t>2、支付方式：银行转账。</w:t>
      </w:r>
    </w:p>
    <w:p w14:paraId="0DBE1D5B">
      <w:pPr>
        <w:pStyle w:val="16"/>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bCs/>
          <w:sz w:val="24"/>
          <w:szCs w:val="24"/>
          <w:highlight w:val="none"/>
        </w:rPr>
      </w:pPr>
      <w:r>
        <w:rPr>
          <w:rFonts w:hint="eastAsia" w:ascii="仿宋" w:hAnsi="仿宋" w:eastAsia="仿宋" w:cs="仿宋"/>
          <w:sz w:val="24"/>
          <w:szCs w:val="24"/>
          <w:highlight w:val="none"/>
        </w:rPr>
        <w:t>3、结算方式：供应商持成交通知书、发票（按合同总价直开采购人）、合同</w:t>
      </w:r>
      <w:r>
        <w:rPr>
          <w:rFonts w:hint="eastAsia" w:ascii="仿宋" w:hAnsi="仿宋" w:eastAsia="仿宋" w:cs="仿宋"/>
          <w:sz w:val="24"/>
          <w:szCs w:val="24"/>
          <w:highlight w:val="none"/>
          <w:lang w:val="en-US" w:eastAsia="zh-CN"/>
        </w:rPr>
        <w:t>等</w:t>
      </w:r>
      <w:r>
        <w:rPr>
          <w:rFonts w:hint="eastAsia" w:ascii="仿宋" w:hAnsi="仿宋" w:eastAsia="仿宋" w:cs="仿宋"/>
          <w:sz w:val="24"/>
          <w:szCs w:val="24"/>
          <w:highlight w:val="none"/>
        </w:rPr>
        <w:t>，与采购人结算。</w:t>
      </w:r>
    </w:p>
    <w:p w14:paraId="0A09C36F">
      <w:pPr>
        <w:keepNext w:val="0"/>
        <w:keepLines w:val="0"/>
        <w:pageBreakBefore w:val="0"/>
        <w:kinsoku/>
        <w:wordWrap/>
        <w:overflowPunct/>
        <w:topLinePunct w:val="0"/>
        <w:autoSpaceDE/>
        <w:autoSpaceDN/>
        <w:bidi w:val="0"/>
        <w:adjustRightInd w:val="0"/>
        <w:snapToGrid w:val="0"/>
        <w:spacing w:line="360" w:lineRule="auto"/>
        <w:ind w:left="425"/>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第五条   知识产权（若有）</w:t>
      </w:r>
    </w:p>
    <w:p w14:paraId="1F28DAD1">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乙方应保证所提供的服务或其任何一部分均不会侵犯任何第三方的专利权、商标权或著作权。</w:t>
      </w:r>
    </w:p>
    <w:p w14:paraId="73A8BBC5">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第六条  无产权瑕疵条款（如有）</w:t>
      </w:r>
    </w:p>
    <w:p w14:paraId="15A10ECB">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乙方保证所提供的服务的所有权完全属于乙方且无任何抵押、查封等产权瑕疵。如有产权瑕疵的，视为乙方违约。乙方应负担由此而产生的一切损失。</w:t>
      </w:r>
    </w:p>
    <w:p w14:paraId="5E934036">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第七条   履约保证金</w:t>
      </w:r>
    </w:p>
    <w:p w14:paraId="2E4574DA">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不需要提供履约保证金。</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C53D067">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第八条  甲方的权利和义务</w:t>
      </w:r>
    </w:p>
    <w:p w14:paraId="3F9A762D">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2FC1B2F6">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2、负责检查监督乙方管理工作的实施及制度的执行情况。</w:t>
      </w:r>
    </w:p>
    <w:p w14:paraId="7268438E">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3、根据本合同规定，按时向乙方支付应付服务费用。</w:t>
      </w:r>
    </w:p>
    <w:p w14:paraId="42DA2F2B">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4、国家法律、法规所规定由甲方承担的其它责任。</w:t>
      </w:r>
    </w:p>
    <w:p w14:paraId="56CB6CBF">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第九条  乙方的权利和义务</w:t>
      </w:r>
    </w:p>
    <w:p w14:paraId="28C5D695">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1、对本合同规定的委托服务范围内的项目享有管理权及服务义务。</w:t>
      </w:r>
    </w:p>
    <w:p w14:paraId="5F80B253">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2、根据本合同的规定向甲方收取相关服务费用，并有权在本项目管理范围内管理及合理使用。</w:t>
      </w:r>
    </w:p>
    <w:p w14:paraId="5C5FD9F3">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3、及时向甲方通告本项目服务范围内有关服务的重大事项，及时配合处理投诉。</w:t>
      </w:r>
    </w:p>
    <w:p w14:paraId="53BF0C47">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4、接受项目行业管理部门及政府有关部门的指导，接受甲方的监督。</w:t>
      </w:r>
    </w:p>
    <w:p w14:paraId="5B567E50">
      <w:pPr>
        <w:keepNext w:val="0"/>
        <w:keepLines w:val="0"/>
        <w:pageBreakBefore w:val="0"/>
        <w:tabs>
          <w:tab w:val="left" w:pos="144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5、国家法律、法规所规定由乙方承担的其它责任。</w:t>
      </w:r>
    </w:p>
    <w:p w14:paraId="16463BDE">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第十条  违约责任</w:t>
      </w:r>
    </w:p>
    <w:p w14:paraId="361CC076">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baseline"/>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1、甲乙双方必须遵守本合同并执行合同中的各项规定，保证本合同的正常履行。</w:t>
      </w:r>
    </w:p>
    <w:p w14:paraId="00A87666">
      <w:pPr>
        <w:keepNext w:val="0"/>
        <w:keepLines w:val="0"/>
        <w:pageBreakBefore w:val="0"/>
        <w:kinsoku/>
        <w:wordWrap/>
        <w:overflowPunct/>
        <w:topLinePunct w:val="0"/>
        <w:autoSpaceDE/>
        <w:autoSpaceDN/>
        <w:bidi w:val="0"/>
        <w:adjustRightInd w:val="0"/>
        <w:snapToGrid w:val="0"/>
        <w:spacing w:line="360" w:lineRule="auto"/>
        <w:ind w:firstLine="480" w:firstLineChars="200"/>
        <w:jc w:val="left"/>
        <w:textAlignment w:val="baseline"/>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AE65354">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第十一条  不可抗力事件处理</w:t>
      </w:r>
    </w:p>
    <w:p w14:paraId="36CEFFD3">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1、在合同有效期内，任何一方因不可抗力事件导致不能履行合同，则合同履行期可延长，其延长期与不可抗力影响期相同。</w:t>
      </w:r>
    </w:p>
    <w:p w14:paraId="7F4034F1">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2、不可抗力事件发生后，应立即通知对方，并寄送有关权威机构出具的证明。</w:t>
      </w:r>
    </w:p>
    <w:p w14:paraId="40BB692E">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3、不可抗力事件延续XX天以上，双方应通过友好协商，确定是否继续履行合同。</w:t>
      </w:r>
    </w:p>
    <w:p w14:paraId="33CB9173">
      <w:pPr>
        <w:keepNext w:val="0"/>
        <w:keepLines w:val="0"/>
        <w:pageBreakBefore w:val="0"/>
        <w:widowControl/>
        <w:kinsoku/>
        <w:wordWrap/>
        <w:overflowPunct/>
        <w:topLinePunct w:val="0"/>
        <w:autoSpaceDE/>
        <w:autoSpaceDN/>
        <w:bidi w:val="0"/>
        <w:adjustRightInd w:val="0"/>
        <w:snapToGrid w:val="0"/>
        <w:spacing w:line="360" w:lineRule="auto"/>
        <w:ind w:firstLine="482" w:firstLineChars="200"/>
        <w:jc w:val="left"/>
        <w:rPr>
          <w:rFonts w:hint="eastAsia" w:ascii="仿宋" w:hAnsi="仿宋" w:eastAsia="仿宋" w:cs="仿宋"/>
          <w:color w:val="000000"/>
          <w:sz w:val="24"/>
          <w:szCs w:val="24"/>
          <w:highlight w:val="none"/>
        </w:rPr>
      </w:pPr>
      <w:bookmarkStart w:id="18" w:name="_Toc225654649"/>
      <w:bookmarkStart w:id="19" w:name="_Toc247334846"/>
      <w:bookmarkStart w:id="20" w:name="_Toc211854454"/>
      <w:bookmarkStart w:id="21" w:name="_Toc232492933"/>
      <w:bookmarkStart w:id="22" w:name="_Toc239568423"/>
      <w:bookmarkStart w:id="23" w:name="_Toc239233919"/>
      <w:bookmarkStart w:id="24" w:name="_Toc225670756"/>
      <w:bookmarkStart w:id="25" w:name="_Toc286993792"/>
      <w:bookmarkStart w:id="26" w:name="_Toc241833908"/>
      <w:bookmarkStart w:id="27" w:name="_Toc238984980"/>
      <w:bookmarkStart w:id="28" w:name="_Toc185395254"/>
      <w:bookmarkStart w:id="29" w:name="_Toc251768867"/>
      <w:bookmarkStart w:id="30" w:name="_Toc212019599"/>
      <w:bookmarkStart w:id="31" w:name="_Toc211911353"/>
      <w:bookmarkStart w:id="32" w:name="_Toc237145411"/>
      <w:bookmarkStart w:id="33" w:name="_Toc225244857"/>
      <w:r>
        <w:rPr>
          <w:rFonts w:hint="eastAsia" w:ascii="仿宋" w:hAnsi="仿宋" w:eastAsia="仿宋" w:cs="仿宋"/>
          <w:b/>
          <w:color w:val="000000"/>
          <w:sz w:val="24"/>
          <w:szCs w:val="24"/>
          <w:highlight w:val="none"/>
        </w:rPr>
        <w:t>第十二条  合同的变更和终止</w:t>
      </w:r>
    </w:p>
    <w:p w14:paraId="4BE0EECB">
      <w:pPr>
        <w:keepNext w:val="0"/>
        <w:keepLines w:val="0"/>
        <w:pageBreakBefore w:val="0"/>
        <w:widowControl/>
        <w:kinsoku/>
        <w:wordWrap/>
        <w:overflowPunct/>
        <w:topLinePunct w:val="0"/>
        <w:autoSpaceDE/>
        <w:autoSpaceDN/>
        <w:bidi w:val="0"/>
        <w:adjustRightInd w:val="0"/>
        <w:snapToGrid w:val="0"/>
        <w:spacing w:line="360" w:lineRule="auto"/>
        <w:ind w:firstLine="480" w:firstLineChars="200"/>
        <w:jc w:val="left"/>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除《中华人民共和国政府采购法》第49条、第50条第二款规定的情形外，本合同一经签订，甲乙双方不得擅自变更、中止或终止合同。</w:t>
      </w:r>
    </w:p>
    <w:p w14:paraId="47BFB6A8">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第十三条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41FAEB41">
      <w:pPr>
        <w:pStyle w:val="16"/>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1、在执行本合同中发生的或与本合同有关的争端，双方应通过友好协商解决，经协商在XX天内不能达成协议时，则采取以下第</w:t>
      </w:r>
      <w:r>
        <w:rPr>
          <w:rFonts w:hint="eastAsia" w:ascii="仿宋" w:hAnsi="仿宋" w:eastAsia="仿宋" w:cs="仿宋"/>
          <w:color w:val="000000"/>
          <w:sz w:val="24"/>
          <w:szCs w:val="24"/>
          <w:highlight w:val="none"/>
          <w:u w:val="single"/>
        </w:rPr>
        <w:t>1</w:t>
      </w:r>
      <w:r>
        <w:rPr>
          <w:rFonts w:hint="eastAsia" w:ascii="仿宋" w:hAnsi="仿宋" w:eastAsia="仿宋" w:cs="仿宋"/>
          <w:color w:val="000000"/>
          <w:sz w:val="24"/>
          <w:szCs w:val="24"/>
          <w:highlight w:val="none"/>
        </w:rPr>
        <w:t>种方式解决争议：</w:t>
      </w:r>
    </w:p>
    <w:p w14:paraId="6FC99207">
      <w:pPr>
        <w:pStyle w:val="16"/>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（1）向甲方所在地有管辖权的人民法院提起诉讼；</w:t>
      </w:r>
    </w:p>
    <w:p w14:paraId="70A7D340">
      <w:pPr>
        <w:pStyle w:val="16"/>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（2）向</w:t>
      </w:r>
      <w:r>
        <w:rPr>
          <w:rFonts w:hint="eastAsia" w:ascii="仿宋" w:hAnsi="仿宋" w:eastAsia="仿宋" w:cs="仿宋"/>
          <w:color w:val="000000"/>
          <w:sz w:val="24"/>
          <w:szCs w:val="24"/>
          <w:highlight w:val="none"/>
          <w:u w:val="single"/>
        </w:rPr>
        <w:t>西安</w:t>
      </w:r>
      <w:r>
        <w:rPr>
          <w:rFonts w:hint="eastAsia" w:ascii="仿宋" w:hAnsi="仿宋" w:eastAsia="仿宋" w:cs="仿宋"/>
          <w:color w:val="000000"/>
          <w:sz w:val="24"/>
          <w:szCs w:val="24"/>
          <w:highlight w:val="none"/>
        </w:rPr>
        <w:t>仲裁委员会按其仲裁规则申请仲裁。</w:t>
      </w:r>
    </w:p>
    <w:p w14:paraId="42407736">
      <w:pPr>
        <w:keepNext w:val="0"/>
        <w:keepLines w:val="0"/>
        <w:pageBreakBefore w:val="0"/>
        <w:tabs>
          <w:tab w:val="left" w:pos="0"/>
        </w:tabs>
        <w:kinsoku/>
        <w:wordWrap/>
        <w:overflowPunct/>
        <w:topLinePunct w:val="0"/>
        <w:autoSpaceDE/>
        <w:autoSpaceDN/>
        <w:bidi w:val="0"/>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2、在仲裁期间，本合同应继续履行。</w:t>
      </w:r>
    </w:p>
    <w:p w14:paraId="49175BE4">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bookmarkStart w:id="34" w:name="_Toc238984981"/>
      <w:bookmarkStart w:id="35" w:name="_Toc239233920"/>
      <w:bookmarkStart w:id="36" w:name="_Toc225670757"/>
      <w:bookmarkStart w:id="37" w:name="_Toc225244858"/>
      <w:bookmarkStart w:id="38" w:name="_Toc237145412"/>
      <w:bookmarkStart w:id="39" w:name="_Toc239568424"/>
      <w:bookmarkStart w:id="40" w:name="_Toc282696231"/>
      <w:bookmarkStart w:id="41" w:name="_Toc232492934"/>
      <w:bookmarkStart w:id="42" w:name="_Toc283019219"/>
      <w:bookmarkStart w:id="43" w:name="_Toc286993793"/>
      <w:bookmarkStart w:id="44" w:name="_Toc247334847"/>
      <w:bookmarkStart w:id="45" w:name="_Toc241833909"/>
      <w:bookmarkStart w:id="46" w:name="_Toc211911354"/>
      <w:bookmarkStart w:id="47" w:name="_Toc211854455"/>
      <w:bookmarkStart w:id="48" w:name="_Toc251768868"/>
      <w:bookmarkStart w:id="49" w:name="_Toc225654650"/>
      <w:bookmarkStart w:id="50" w:name="_Toc212019600"/>
      <w:bookmarkStart w:id="51" w:name="_Toc185395255"/>
      <w:r>
        <w:rPr>
          <w:rFonts w:hint="eastAsia" w:ascii="仿宋" w:hAnsi="仿宋" w:eastAsia="仿宋" w:cs="仿宋"/>
          <w:b/>
          <w:color w:val="000000"/>
          <w:sz w:val="24"/>
          <w:szCs w:val="24"/>
          <w:highlight w:val="none"/>
        </w:rPr>
        <w:t>第十四条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仿宋" w:hAnsi="仿宋" w:eastAsia="仿宋" w:cs="仿宋"/>
          <w:b/>
          <w:color w:val="000000"/>
          <w:sz w:val="24"/>
          <w:szCs w:val="24"/>
          <w:highlight w:val="none"/>
        </w:rPr>
        <w:t>生效及其他</w:t>
      </w:r>
    </w:p>
    <w:p w14:paraId="544D7F30">
      <w:pPr>
        <w:pStyle w:val="17"/>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1、合同经双方法定代表人（单位负责人）或授权委托代理人签字并加盖单位公章并由采购代理机构盖章后生效。</w:t>
      </w:r>
    </w:p>
    <w:p w14:paraId="1B356A43">
      <w:pPr>
        <w:pStyle w:val="17"/>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2、合同执行中涉及采购资金和采购内容修改或补充的，须经政府采购监管部门审批，并签书面补充协议报政府采购监督管理部门备案，方可作为主合同不可分割的一部分。</w:t>
      </w:r>
    </w:p>
    <w:p w14:paraId="5D5C526A">
      <w:pPr>
        <w:pStyle w:val="17"/>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3、本合同一式陆份，自双方签章之日起</w:t>
      </w:r>
      <w:r>
        <w:rPr>
          <w:rFonts w:hint="eastAsia" w:ascii="仿宋" w:hAnsi="仿宋" w:eastAsia="仿宋" w:cs="仿宋"/>
          <w:color w:val="000000"/>
          <w:sz w:val="24"/>
          <w:szCs w:val="24"/>
          <w:highlight w:val="none"/>
          <w:lang w:val="en-US" w:eastAsia="zh-CN"/>
        </w:rPr>
        <w:t>生</w:t>
      </w:r>
      <w:r>
        <w:rPr>
          <w:rFonts w:hint="eastAsia" w:ascii="仿宋" w:hAnsi="仿宋" w:eastAsia="仿宋" w:cs="仿宋"/>
          <w:color w:val="000000"/>
          <w:sz w:val="24"/>
          <w:szCs w:val="24"/>
          <w:highlight w:val="none"/>
        </w:rPr>
        <w:t>效。甲方</w:t>
      </w:r>
      <w:r>
        <w:rPr>
          <w:rFonts w:hint="eastAsia" w:ascii="仿宋" w:hAnsi="仿宋" w:eastAsia="仿宋" w:cs="仿宋"/>
          <w:color w:val="000000"/>
          <w:sz w:val="24"/>
          <w:szCs w:val="24"/>
          <w:highlight w:val="none"/>
          <w:lang w:val="en-US" w:eastAsia="zh-CN"/>
        </w:rPr>
        <w:t>叁</w:t>
      </w:r>
      <w:r>
        <w:rPr>
          <w:rFonts w:hint="eastAsia" w:ascii="仿宋" w:hAnsi="仿宋" w:eastAsia="仿宋" w:cs="仿宋"/>
          <w:color w:val="000000"/>
          <w:sz w:val="24"/>
          <w:szCs w:val="24"/>
          <w:highlight w:val="none"/>
        </w:rPr>
        <w:t>份，乙方贰份，政府采购代理机构壹份，同级财政部门备案壹份，具有同等法律效力。</w:t>
      </w:r>
    </w:p>
    <w:p w14:paraId="6C19D0E7">
      <w:pPr>
        <w:keepNext w:val="0"/>
        <w:keepLines w:val="0"/>
        <w:pageBreakBefore w:val="0"/>
        <w:kinsoku/>
        <w:wordWrap/>
        <w:overflowPunct/>
        <w:topLinePunct w:val="0"/>
        <w:autoSpaceDE/>
        <w:autoSpaceDN/>
        <w:bidi w:val="0"/>
        <w:adjustRightInd w:val="0"/>
        <w:snapToGrid w:val="0"/>
        <w:spacing w:line="360" w:lineRule="auto"/>
        <w:ind w:left="426"/>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第十五条  附件</w:t>
      </w:r>
    </w:p>
    <w:p w14:paraId="4D007C2A">
      <w:pPr>
        <w:pStyle w:val="17"/>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val="en-US" w:eastAsia="zh-CN"/>
        </w:rPr>
        <w:t>竞争性磋商</w:t>
      </w:r>
      <w:r>
        <w:rPr>
          <w:rFonts w:hint="eastAsia" w:ascii="仿宋" w:hAnsi="仿宋" w:eastAsia="仿宋" w:cs="仿宋"/>
          <w:color w:val="000000"/>
          <w:sz w:val="24"/>
          <w:szCs w:val="24"/>
          <w:highlight w:val="none"/>
        </w:rPr>
        <w:t>文件</w:t>
      </w:r>
    </w:p>
    <w:p w14:paraId="2673E427">
      <w:pPr>
        <w:pStyle w:val="17"/>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2、项目修改澄清文件</w:t>
      </w:r>
    </w:p>
    <w:p w14:paraId="6C58187C">
      <w:pPr>
        <w:pStyle w:val="17"/>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3、响应文件</w:t>
      </w:r>
    </w:p>
    <w:p w14:paraId="055B8FA7">
      <w:pPr>
        <w:pStyle w:val="17"/>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4、成交通知书</w:t>
      </w:r>
    </w:p>
    <w:p w14:paraId="43DB5AFF">
      <w:pPr>
        <w:pStyle w:val="17"/>
        <w:keepNext w:val="0"/>
        <w:keepLines w:val="0"/>
        <w:pageBreakBefore w:val="0"/>
        <w:kinsoku/>
        <w:wordWrap/>
        <w:overflowPunct/>
        <w:topLinePunct w:val="0"/>
        <w:autoSpaceDE/>
        <w:autoSpaceDN/>
        <w:bidi w:val="0"/>
        <w:adjustRightInd w:val="0"/>
        <w:snapToGrid w:val="0"/>
        <w:spacing w:line="360" w:lineRule="auto"/>
        <w:ind w:firstLine="480"/>
        <w:rPr>
          <w:rFonts w:hint="eastAsia" w:ascii="仿宋" w:hAnsi="仿宋" w:eastAsia="仿宋" w:cs="仿宋"/>
          <w:b/>
          <w:bCs/>
          <w:color w:val="000000"/>
          <w:sz w:val="24"/>
          <w:szCs w:val="24"/>
          <w:highlight w:val="none"/>
        </w:rPr>
      </w:pPr>
      <w:r>
        <w:rPr>
          <w:rFonts w:hint="eastAsia" w:ascii="仿宋" w:hAnsi="仿宋" w:eastAsia="仿宋" w:cs="仿宋"/>
          <w:color w:val="000000"/>
          <w:sz w:val="24"/>
          <w:szCs w:val="24"/>
          <w:highlight w:val="none"/>
        </w:rPr>
        <w:t>5、其他</w:t>
      </w:r>
    </w:p>
    <w:p w14:paraId="0C1BA258">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甲方：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（盖章）   </w:t>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 xml:space="preserve">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乙方：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  （盖章）</w:t>
      </w:r>
    </w:p>
    <w:p w14:paraId="2D97C0EF">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法定代表人（单位负责人）（授权代表）：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法定代表人（授权代表）：</w:t>
      </w:r>
    </w:p>
    <w:p w14:paraId="15C038BE">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地    址：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地    址：</w:t>
      </w:r>
    </w:p>
    <w:p w14:paraId="13C35433">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开户银行：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开户银行：</w:t>
      </w:r>
    </w:p>
    <w:p w14:paraId="4CC6CD26">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 xml:space="preserve">号：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账</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号：</w:t>
      </w:r>
    </w:p>
    <w:p w14:paraId="3D8B5ECC">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电    话：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电    话：</w:t>
      </w:r>
    </w:p>
    <w:p w14:paraId="4C381EBE">
      <w:pPr>
        <w:keepNext w:val="0"/>
        <w:keepLines w:val="0"/>
        <w:pageBreakBefore w:val="0"/>
        <w:kinsoku/>
        <w:wordWrap/>
        <w:overflowPunct/>
        <w:topLinePunct w:val="0"/>
        <w:autoSpaceDE/>
        <w:autoSpaceDN/>
        <w:bidi w:val="0"/>
        <w:adjustRightInd w:val="0"/>
        <w:snapToGrid w:val="0"/>
        <w:spacing w:line="360" w:lineRule="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 xml:space="preserve">传    真：                             </w:t>
      </w:r>
      <w:r>
        <w:rPr>
          <w:rFonts w:hint="eastAsia" w:ascii="仿宋" w:hAnsi="仿宋" w:eastAsia="仿宋" w:cs="仿宋"/>
          <w:color w:val="000000"/>
          <w:sz w:val="24"/>
          <w:szCs w:val="24"/>
          <w:highlight w:val="none"/>
          <w:lang w:val="en-US" w:eastAsia="zh-CN"/>
        </w:rPr>
        <w:t xml:space="preserve">   </w:t>
      </w:r>
      <w:r>
        <w:rPr>
          <w:rFonts w:hint="eastAsia" w:ascii="仿宋" w:hAnsi="仿宋" w:eastAsia="仿宋" w:cs="仿宋"/>
          <w:color w:val="000000"/>
          <w:sz w:val="24"/>
          <w:szCs w:val="24"/>
          <w:highlight w:val="none"/>
        </w:rPr>
        <w:t>传    真：</w:t>
      </w:r>
    </w:p>
    <w:p w14:paraId="108D627C">
      <w:pPr>
        <w:pStyle w:val="18"/>
      </w:pPr>
      <w:r>
        <w:rPr>
          <w:rFonts w:hint="eastAsia" w:ascii="仿宋" w:hAnsi="仿宋" w:eastAsia="仿宋" w:cs="仿宋"/>
          <w:color w:val="000000"/>
          <w:sz w:val="24"/>
          <w:szCs w:val="24"/>
          <w:highlight w:val="none"/>
          <w:lang w:val="en-US" w:eastAsia="zh-CN"/>
        </w:rPr>
        <w:t>签订</w:t>
      </w:r>
      <w:r>
        <w:rPr>
          <w:rFonts w:hint="eastAsia" w:ascii="仿宋" w:hAnsi="仿宋" w:eastAsia="仿宋" w:cs="仿宋"/>
          <w:color w:val="000000"/>
          <w:sz w:val="24"/>
          <w:szCs w:val="24"/>
          <w:highlight w:val="none"/>
        </w:rPr>
        <w:t xml:space="preserve">日期：  年   月  日 </w:t>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ab/>
      </w:r>
      <w:r>
        <w:rPr>
          <w:rFonts w:hint="eastAsia" w:ascii="仿宋" w:hAnsi="仿宋" w:eastAsia="仿宋" w:cs="仿宋"/>
          <w:color w:val="000000"/>
          <w:sz w:val="24"/>
          <w:szCs w:val="24"/>
          <w:highlight w:val="none"/>
        </w:rPr>
        <w:t xml:space="preserve">   </w:t>
      </w:r>
      <w:r>
        <w:rPr>
          <w:rFonts w:hint="eastAsia" w:ascii="仿宋" w:hAnsi="仿宋" w:eastAsia="仿宋" w:cs="仿宋"/>
          <w:color w:val="000000"/>
          <w:sz w:val="24"/>
          <w:szCs w:val="24"/>
          <w:highlight w:val="none"/>
          <w:lang w:val="en-US" w:eastAsia="zh-CN"/>
        </w:rPr>
        <w:t xml:space="preserve">     签订</w:t>
      </w:r>
      <w:r>
        <w:rPr>
          <w:rFonts w:hint="eastAsia" w:ascii="仿宋" w:hAnsi="仿宋" w:eastAsia="仿宋" w:cs="仿宋"/>
          <w:color w:val="000000"/>
          <w:sz w:val="24"/>
          <w:szCs w:val="24"/>
          <w:highlight w:val="none"/>
        </w:rPr>
        <w:t>日期：  年   月  日</w:t>
      </w:r>
    </w:p>
    <w:sectPr>
      <w:footerReference r:id="rId4"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193A12">
    <w:pPr>
      <w:pStyle w:val="8"/>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79A940">
                          <w:pPr>
                            <w:pStyle w:val="8"/>
                          </w:pPr>
                          <w:r>
                            <w:t xml:space="preserve">第 </w:t>
                          </w:r>
                          <w:r>
                            <w:fldChar w:fldCharType="begin"/>
                          </w:r>
                          <w:r>
                            <w:instrText xml:space="preserve"> PAGE  \* MERGEFORMAT </w:instrText>
                          </w:r>
                          <w:r>
                            <w:fldChar w:fldCharType="separate"/>
                          </w:r>
                          <w:r>
                            <w:t>60</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2E79A940">
                    <w:pPr>
                      <w:pStyle w:val="8"/>
                    </w:pPr>
                    <w:r>
                      <w:t xml:space="preserve">第 </w:t>
                    </w:r>
                    <w:r>
                      <w:fldChar w:fldCharType="begin"/>
                    </w:r>
                    <w:r>
                      <w:instrText xml:space="preserve"> PAGE  \* MERGEFORMAT </w:instrText>
                    </w:r>
                    <w:r>
                      <w:fldChar w:fldCharType="separate"/>
                    </w:r>
                    <w:r>
                      <w:t>60</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8"/>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EF262E"/>
    <w:multiLevelType w:val="singleLevel"/>
    <w:tmpl w:val="FDEF262E"/>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94E19"/>
    <w:rsid w:val="0345496C"/>
    <w:rsid w:val="06125D84"/>
    <w:rsid w:val="13101155"/>
    <w:rsid w:val="15023B03"/>
    <w:rsid w:val="1FF17CBA"/>
    <w:rsid w:val="3E9939C1"/>
    <w:rsid w:val="3FF94E19"/>
    <w:rsid w:val="4E0C3F18"/>
    <w:rsid w:val="4EBB663A"/>
    <w:rsid w:val="501B3C78"/>
    <w:rsid w:val="5D1E47D6"/>
    <w:rsid w:val="62A55DE6"/>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4"/>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2">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Body Text"/>
    <w:basedOn w:val="1"/>
    <w:next w:val="1"/>
    <w:qFormat/>
    <w:uiPriority w:val="0"/>
    <w:pPr>
      <w:jc w:val="left"/>
    </w:pPr>
    <w:rPr>
      <w:rFonts w:ascii="Copperplate Gothic Bold" w:hAnsi="Copperplate Gothic Bold"/>
      <w:sz w:val="28"/>
    </w:rPr>
  </w:style>
  <w:style w:type="paragraph" w:styleId="6">
    <w:name w:val="Body Text Indent"/>
    <w:basedOn w:val="1"/>
    <w:next w:val="7"/>
    <w:qFormat/>
    <w:uiPriority w:val="0"/>
    <w:pPr>
      <w:spacing w:after="120" w:afterLines="0" w:afterAutospacing="0"/>
      <w:ind w:left="420" w:leftChars="200"/>
    </w:pPr>
    <w:rPr>
      <w:rFonts w:ascii="Times New Roman" w:hAnsi="Times New Roman" w:eastAsia="宋体" w:cs="Times New Roman"/>
    </w:rPr>
  </w:style>
  <w:style w:type="paragraph" w:customStyle="1" w:styleId="7">
    <w:name w:val="font5"/>
    <w:basedOn w:val="1"/>
    <w:qFormat/>
    <w:uiPriority w:val="0"/>
    <w:pPr>
      <w:spacing w:before="100" w:beforeAutospacing="1" w:after="100" w:afterAutospacing="1"/>
    </w:pPr>
    <w:rPr>
      <w:rFonts w:hint="eastAsia" w:ascii="宋体" w:hAnsi="宋体"/>
    </w:rPr>
  </w:style>
  <w:style w:type="paragraph" w:styleId="8">
    <w:name w:val="footer"/>
    <w:basedOn w:val="1"/>
    <w:qFormat/>
    <w:uiPriority w:val="0"/>
    <w:pPr>
      <w:tabs>
        <w:tab w:val="center" w:pos="4153"/>
        <w:tab w:val="right" w:pos="8306"/>
      </w:tabs>
      <w:snapToGrid w:val="0"/>
      <w:jc w:val="left"/>
    </w:pPr>
    <w:rPr>
      <w:sz w:val="18"/>
    </w:rPr>
  </w:style>
  <w:style w:type="paragraph" w:styleId="9">
    <w:name w:val="toc 1"/>
    <w:basedOn w:val="1"/>
    <w:next w:val="1"/>
    <w:qFormat/>
    <w:uiPriority w:val="39"/>
  </w:style>
  <w:style w:type="paragraph" w:styleId="10">
    <w:name w:val="Body Text First Indent"/>
    <w:basedOn w:val="5"/>
    <w:unhideWhenUsed/>
    <w:qFormat/>
    <w:uiPriority w:val="99"/>
    <w:pPr>
      <w:ind w:firstLine="420" w:firstLineChars="100"/>
    </w:pPr>
    <w:rPr>
      <w:szCs w:val="24"/>
    </w:rPr>
  </w:style>
  <w:style w:type="paragraph" w:styleId="11">
    <w:name w:val="Body Text First Indent 2"/>
    <w:basedOn w:val="6"/>
    <w:next w:val="10"/>
    <w:qFormat/>
    <w:uiPriority w:val="0"/>
    <w:pPr>
      <w:ind w:firstLine="420" w:firstLineChars="200"/>
    </w:pPr>
    <w:rPr>
      <w:rFonts w:ascii="Times New Roman" w:hAnsi="Times New Roman" w:eastAsia="宋体" w:cs="Times New Roman"/>
    </w:rPr>
  </w:style>
  <w:style w:type="character" w:customStyle="1" w:styleId="14">
    <w:name w:val="标题 2 字符"/>
    <w:link w:val="4"/>
    <w:qFormat/>
    <w:uiPriority w:val="0"/>
    <w:rPr>
      <w:rFonts w:ascii="Arial" w:hAnsi="Arial"/>
      <w:b/>
      <w:kern w:val="0"/>
      <w:sz w:val="32"/>
      <w:lang w:val="zh-CN" w:bidi="zh-CN"/>
    </w:rPr>
  </w:style>
  <w:style w:type="paragraph" w:customStyle="1" w:styleId="15">
    <w:name w:val="Normal Indent1"/>
    <w:basedOn w:val="1"/>
    <w:qFormat/>
    <w:uiPriority w:val="99"/>
    <w:pPr>
      <w:ind w:firstLine="880" w:firstLineChars="200"/>
    </w:pPr>
  </w:style>
  <w:style w:type="paragraph" w:customStyle="1" w:styleId="16">
    <w:name w:val="样式 首行缩进:  2 字符"/>
    <w:basedOn w:val="1"/>
    <w:qFormat/>
    <w:uiPriority w:val="0"/>
    <w:pPr>
      <w:spacing w:line="400" w:lineRule="exact"/>
      <w:ind w:firstLine="200" w:firstLineChars="200"/>
    </w:pPr>
    <w:rPr>
      <w:rFonts w:cs="宋体"/>
      <w:sz w:val="24"/>
    </w:rPr>
  </w:style>
  <w:style w:type="paragraph" w:styleId="17">
    <w:name w:val="List Paragraph"/>
    <w:basedOn w:val="1"/>
    <w:qFormat/>
    <w:uiPriority w:val="99"/>
    <w:pPr>
      <w:ind w:firstLine="420" w:firstLineChars="200"/>
    </w:p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2025-07-14T09:03:00Z</dcterms:created>
  <dc:creator>陕西笃信招标有限公司</dc:creator>
  <cp:lastModifiedBy>陕西笃信招标有限公司</cp:lastModifiedBy>
  <dcterms:modified xsi:type="dcterms:W3CDTF">2025-07-14T09:06:45Z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D8AFB9D7F31F443DAC32CA96BAD547C4_13</vt:lpwstr>
  </property>
  <property fmtid="{D5CDD505-2E9C-101B-9397-08002B2CF9AE}" pid="4" name="KSOTemplateDocerSaveRecord">
    <vt:lpwstr>eyJoZGlkIjoiNzg2YzQ2Nzk4M2IwOWVlMWU4NjljZTZlNTRmMjFkNDkiLCJ1c2VySWQiOiI5MTQ3Njg1NjkifQ==</vt:lpwstr>
  </property>
</Properties>
</file>