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版本号：DX2025-19920250714001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“凝心聚力谱新篇争做西安好网民”2025西安好网民工程活动项目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DX2025-199</w:t>
      </w:r>
      <w:r>
        <w:br/>
      </w:r>
      <w:r>
        <w:br/>
      </w:r>
      <w:r>
        <w:br/>
      </w:r>
    </w:p>
    <w:p>
      <w:pPr>
        <w:pStyle w:val="null3"/>
        <w:jc w:val="center"/>
        <w:outlineLvl w:val="2"/>
      </w:pPr>
      <w:r>
        <w:rPr>
          <w:rFonts w:ascii="仿宋_GB2312" w:hAnsi="仿宋_GB2312" w:cs="仿宋_GB2312" w:eastAsia="仿宋_GB2312"/>
          <w:sz w:val="28"/>
          <w:b/>
        </w:rPr>
        <w:t>中共西安市委网络安全和信息化委员会办公室</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中共西安市委网络安全和信息化委员会办公室</w:t>
      </w:r>
      <w:r>
        <w:rPr>
          <w:rFonts w:ascii="仿宋_GB2312" w:hAnsi="仿宋_GB2312" w:cs="仿宋_GB2312" w:eastAsia="仿宋_GB2312"/>
        </w:rPr>
        <w:t>委托，拟对</w:t>
      </w:r>
      <w:r>
        <w:rPr>
          <w:rFonts w:ascii="仿宋_GB2312" w:hAnsi="仿宋_GB2312" w:cs="仿宋_GB2312" w:eastAsia="仿宋_GB2312"/>
        </w:rPr>
        <w:t>“凝心聚力谱新篇争做西安好网民”2025西安好网民工程活动项目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“凝心聚力谱新篇争做西安好网民”2025西安好网民工程活动项目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“凝心聚力谱新篇 争做西安好网民”2025西安好网民工程活动项目。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p>
      <w:pPr>
        <w:pStyle w:val="null3"/>
      </w:pPr>
      <w:r>
        <w:rPr>
          <w:rFonts w:ascii="仿宋_GB2312" w:hAnsi="仿宋_GB2312" w:cs="仿宋_GB2312" w:eastAsia="仿宋_GB2312"/>
        </w:rPr>
        <w:t>2、法定代表人授权委托书：法定代表人直接参加的须出具法人身份证明并于营业执照信息一致，法定代表人授权代表参加的，须出具法定代表人授权书。</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4、承诺函：本项目不接受联合体投标，不得转包、分包或以其它联营挂靠形式分包给其他单位或个人，提供承诺函（格式自拟）。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中共西安市委网络安全和信息化委员会办公室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029-86782920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国家发展改革委关于进一步放开建设项目专业服务价格的通知》收取。 注：代理服务费不足6000元的，按6000元收取。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中共西安市委网络安全和信息化委员会办公室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中共西安市委网络安全和信息化委员会办公室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联系人：李纪旋、张亚娜、李薇</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“凝心聚力谱新篇 争做西安好网民”2025西安好网民工程活动项目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开展“凝心聚力谱新篇 争做西安好网民”2025西安好网民工程活动项目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标的名称：开展“凝心聚力谱新篇 争做西安好网民”2025西安好网民工程活动项目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0"/>
                <w:b/>
              </w:rPr>
              <w:t>一、活动目的</w:t>
            </w:r>
          </w:p>
          <w:p>
            <w:pPr>
              <w:pStyle w:val="null3"/>
              <w:ind w:firstLine="400"/>
              <w:jc w:val="left"/>
            </w:pPr>
            <w:r>
              <w:rPr>
                <w:rFonts w:ascii="仿宋_GB2312" w:hAnsi="仿宋_GB2312" w:cs="仿宋_GB2312" w:eastAsia="仿宋_GB2312"/>
                <w:sz w:val="20"/>
              </w:rPr>
              <w:t>围绕“凝心聚力谱新篇 争做西安好网民”主题，组织开展</w:t>
            </w:r>
            <w:r>
              <w:rPr>
                <w:rFonts w:ascii="仿宋_GB2312" w:hAnsi="仿宋_GB2312" w:cs="仿宋_GB2312" w:eastAsia="仿宋_GB2312"/>
                <w:sz w:val="20"/>
              </w:rPr>
              <w:t>2025西安好网民工程活动项目</w:t>
            </w:r>
            <w:r>
              <w:rPr>
                <w:rFonts w:ascii="仿宋_GB2312" w:hAnsi="仿宋_GB2312" w:cs="仿宋_GB2312" w:eastAsia="仿宋_GB2312"/>
                <w:sz w:val="20"/>
              </w:rPr>
              <w:t>。通过策划组织实施一系列主题鲜明、形式多样的好网民活动，弘扬社会主义核心价值观，推进网络文明建设，培育和挖掘一批有广泛社会影响力的网络文明典型，引导广大网民在网络空间积极传播正能量，为推动西安高质量发展、全面建设社会主义现代化国家和全面推进中华民族伟大复兴凝聚广泛共识和强大力量。</w:t>
            </w:r>
          </w:p>
          <w:p>
            <w:pPr>
              <w:pStyle w:val="null3"/>
              <w:ind w:firstLine="402"/>
              <w:jc w:val="both"/>
            </w:pPr>
            <w:r>
              <w:rPr>
                <w:rFonts w:ascii="仿宋_GB2312" w:hAnsi="仿宋_GB2312" w:cs="仿宋_GB2312" w:eastAsia="仿宋_GB2312"/>
                <w:sz w:val="20"/>
                <w:b/>
              </w:rPr>
              <w:t>二、活动时间</w:t>
            </w:r>
          </w:p>
          <w:p>
            <w:pPr>
              <w:pStyle w:val="null3"/>
              <w:ind w:firstLine="400"/>
              <w:jc w:val="left"/>
            </w:pPr>
            <w:r>
              <w:rPr>
                <w:rFonts w:ascii="仿宋_GB2312" w:hAnsi="仿宋_GB2312" w:cs="仿宋_GB2312" w:eastAsia="仿宋_GB2312"/>
                <w:sz w:val="20"/>
              </w:rPr>
              <w:t>合同签订之日起至</w:t>
            </w:r>
            <w:r>
              <w:rPr>
                <w:rFonts w:ascii="仿宋_GB2312" w:hAnsi="仿宋_GB2312" w:cs="仿宋_GB2312" w:eastAsia="仿宋_GB2312"/>
                <w:sz w:val="20"/>
              </w:rPr>
              <w:t>2025年12月</w:t>
            </w:r>
          </w:p>
          <w:p>
            <w:pPr>
              <w:pStyle w:val="null3"/>
              <w:ind w:firstLine="402"/>
              <w:jc w:val="both"/>
            </w:pPr>
            <w:r>
              <w:rPr>
                <w:rFonts w:ascii="仿宋_GB2312" w:hAnsi="仿宋_GB2312" w:cs="仿宋_GB2312" w:eastAsia="仿宋_GB2312"/>
                <w:sz w:val="20"/>
                <w:b/>
              </w:rPr>
              <w:t>三、活动主题</w:t>
            </w:r>
          </w:p>
          <w:p>
            <w:pPr>
              <w:pStyle w:val="null3"/>
              <w:ind w:firstLine="400"/>
              <w:jc w:val="left"/>
            </w:pPr>
            <w:r>
              <w:rPr>
                <w:rFonts w:ascii="仿宋_GB2312" w:hAnsi="仿宋_GB2312" w:cs="仿宋_GB2312" w:eastAsia="仿宋_GB2312"/>
                <w:sz w:val="20"/>
              </w:rPr>
              <w:t>凝心聚力谱新篇</w:t>
            </w:r>
            <w:r>
              <w:rPr>
                <w:rFonts w:ascii="仿宋_GB2312" w:hAnsi="仿宋_GB2312" w:cs="仿宋_GB2312" w:eastAsia="仿宋_GB2312"/>
                <w:sz w:val="20"/>
              </w:rPr>
              <w:t>争做西安好网民</w:t>
            </w:r>
          </w:p>
          <w:p>
            <w:pPr>
              <w:pStyle w:val="null3"/>
              <w:ind w:firstLine="402"/>
              <w:jc w:val="both"/>
            </w:pPr>
            <w:r>
              <w:rPr>
                <w:rFonts w:ascii="仿宋_GB2312" w:hAnsi="仿宋_GB2312" w:cs="仿宋_GB2312" w:eastAsia="仿宋_GB2312"/>
                <w:sz w:val="20"/>
                <w:b/>
              </w:rPr>
              <w:t>四、活动安排</w:t>
            </w:r>
          </w:p>
          <w:p>
            <w:pPr>
              <w:pStyle w:val="null3"/>
              <w:ind w:firstLine="400"/>
              <w:jc w:val="both"/>
            </w:pPr>
            <w:r>
              <w:rPr>
                <w:rFonts w:ascii="仿宋_GB2312" w:hAnsi="仿宋_GB2312" w:cs="仿宋_GB2312" w:eastAsia="仿宋_GB2312"/>
                <w:sz w:val="20"/>
              </w:rPr>
              <w:t>（一）</w:t>
            </w:r>
            <w:r>
              <w:rPr>
                <w:rFonts w:ascii="仿宋_GB2312" w:hAnsi="仿宋_GB2312" w:cs="仿宋_GB2312" w:eastAsia="仿宋_GB2312"/>
                <w:sz w:val="20"/>
              </w:rPr>
              <w:t>“发现身边好网民”典型人物展播。</w:t>
            </w:r>
          </w:p>
          <w:p>
            <w:pPr>
              <w:pStyle w:val="null3"/>
              <w:ind w:firstLine="400"/>
              <w:jc w:val="left"/>
            </w:pPr>
            <w:r>
              <w:rPr>
                <w:rFonts w:ascii="仿宋_GB2312" w:hAnsi="仿宋_GB2312" w:cs="仿宋_GB2312" w:eastAsia="仿宋_GB2312"/>
                <w:sz w:val="20"/>
              </w:rPr>
              <w:t>（二）</w:t>
            </w:r>
            <w:r>
              <w:rPr>
                <w:rFonts w:ascii="仿宋_GB2312" w:hAnsi="仿宋_GB2312" w:cs="仿宋_GB2312" w:eastAsia="仿宋_GB2312"/>
                <w:sz w:val="20"/>
              </w:rPr>
              <w:t>“网络文明进校园”争做校园好网民主题实践活动。</w:t>
            </w:r>
          </w:p>
          <w:p>
            <w:pPr>
              <w:pStyle w:val="null3"/>
              <w:ind w:firstLine="400"/>
              <w:jc w:val="left"/>
            </w:pPr>
            <w:r>
              <w:rPr>
                <w:rFonts w:ascii="仿宋_GB2312" w:hAnsi="仿宋_GB2312" w:cs="仿宋_GB2312" w:eastAsia="仿宋_GB2312"/>
                <w:sz w:val="20"/>
              </w:rPr>
              <w:t>（三）</w:t>
            </w:r>
            <w:r>
              <w:rPr>
                <w:rFonts w:ascii="仿宋_GB2312" w:hAnsi="仿宋_GB2312" w:cs="仿宋_GB2312" w:eastAsia="仿宋_GB2312"/>
                <w:sz w:val="20"/>
              </w:rPr>
              <w:t>“好网民看西安”融媒联动观察活动。</w:t>
            </w:r>
          </w:p>
          <w:p>
            <w:pPr>
              <w:pStyle w:val="null3"/>
              <w:ind w:firstLine="400"/>
              <w:jc w:val="both"/>
            </w:pPr>
            <w:r>
              <w:rPr>
                <w:rFonts w:ascii="仿宋_GB2312" w:hAnsi="仿宋_GB2312" w:cs="仿宋_GB2312" w:eastAsia="仿宋_GB2312"/>
                <w:sz w:val="20"/>
              </w:rPr>
              <w:t>（四）西安好网民案例分享会。</w:t>
            </w:r>
          </w:p>
          <w:p>
            <w:pPr>
              <w:pStyle w:val="null3"/>
              <w:ind w:firstLine="402"/>
              <w:jc w:val="both"/>
            </w:pPr>
            <w:r>
              <w:rPr>
                <w:rFonts w:ascii="仿宋_GB2312" w:hAnsi="仿宋_GB2312" w:cs="仿宋_GB2312" w:eastAsia="仿宋_GB2312"/>
                <w:sz w:val="20"/>
                <w:b/>
              </w:rPr>
              <w:t>五</w:t>
            </w:r>
            <w:r>
              <w:rPr>
                <w:rFonts w:ascii="仿宋_GB2312" w:hAnsi="仿宋_GB2312" w:cs="仿宋_GB2312" w:eastAsia="仿宋_GB2312"/>
                <w:sz w:val="20"/>
                <w:b/>
              </w:rPr>
              <w:t>、</w:t>
            </w:r>
            <w:r>
              <w:rPr>
                <w:rFonts w:ascii="仿宋_GB2312" w:hAnsi="仿宋_GB2312" w:cs="仿宋_GB2312" w:eastAsia="仿宋_GB2312"/>
                <w:sz w:val="20"/>
                <w:b/>
              </w:rPr>
              <w:t>项目要求</w:t>
            </w:r>
          </w:p>
          <w:p>
            <w:pPr>
              <w:pStyle w:val="null3"/>
              <w:jc w:val="both"/>
            </w:pPr>
            <w:r>
              <w:rPr>
                <w:rFonts w:ascii="仿宋_GB2312" w:hAnsi="仿宋_GB2312" w:cs="仿宋_GB2312" w:eastAsia="仿宋_GB2312"/>
                <w:sz w:val="20"/>
              </w:rPr>
              <w:t xml:space="preserve">    策划方案具体可行；供应商具有线下活动的策划和执行能力；供应商能够制作推出丰富多样的宣传产品，有网络特点，有创新思维，并能够在各类网络媒体平台上广泛传播，有较好的宣传效果</w:t>
            </w:r>
            <w:r>
              <w:rPr>
                <w:rFonts w:ascii="仿宋_GB2312" w:hAnsi="仿宋_GB2312" w:cs="仿宋_GB2312" w:eastAsia="仿宋_GB2312"/>
                <w:sz w:val="2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合同签订且供应商开具增值税正式发票后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合作结束后供应商提供结案报告，经市委网信办验收合格出具验收报告和绩效目标后</w:t>
      </w:r>
      <w:r>
        <w:rPr>
          <w:rFonts w:ascii="仿宋_GB2312" w:hAnsi="仿宋_GB2312" w:cs="仿宋_GB2312" w:eastAsia="仿宋_GB2312"/>
        </w:rPr>
        <w:t xml:space="preserve"> ，达到付款条件起 </w:t>
      </w:r>
      <w:r>
        <w:rPr>
          <w:rFonts w:ascii="仿宋_GB2312" w:hAnsi="仿宋_GB2312" w:cs="仿宋_GB2312" w:eastAsia="仿宋_GB2312"/>
        </w:rPr>
        <w:t>40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2、提供具有财务审计资质单位出具的2024年度财务报告或磋商前六个月内其基本账户银行出具的资信证明或财政部门认可的政府采购专业担保机构出具的担保函，以上形式的证明资料提供任何一种即可。 3、提供已缴存的 2025年1月1日以来任意时间段的社会保障资金缴存单据或社保机构开具的社会保险参保缴费情况证明。成立时间至提交响应文件截止时间不足一个月或依法不需要缴纳社会保障资金的供应商应提供相关文件证明。 4、提供已缴存的 提供已缴纳的 2025年1月1日以来任意时间段的纳税证明或完税证明，纳税证明或完税证明上应有代收机构或税务机关的公章或业务专用章。依法免税的供应商应提供相关文件证明。 5、（1）出具履行合同所必需的设备和专业技术能力的书面声明；（2）出具参加本次政府采购活动的书面声明。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法定代表人直接参加的须出具法人身份证明并于营业执照信息一致，法定代表人授权代表参加的，须出具法定代表人授权书。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本项目不接受联合体投标，不得转包、分包或以其它联营挂靠形式分包给其他单位或个人，提供承诺函（格式自拟）。</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项目总体理解及规划</w:t>
            </w:r>
          </w:p>
        </w:tc>
        <w:tc>
          <w:tcPr>
            <w:tcW w:type="dxa" w:w="2492"/>
          </w:tcPr>
          <w:p>
            <w:pPr>
              <w:pStyle w:val="null3"/>
            </w:pPr>
            <w:r>
              <w:rPr>
                <w:rFonts w:ascii="仿宋_GB2312" w:hAnsi="仿宋_GB2312" w:cs="仿宋_GB2312" w:eastAsia="仿宋_GB2312"/>
              </w:rPr>
              <w:t>一、评审内容 针对本项目提供详细的项目总体理解及规划，包括但不限于： ①对本项目的总体认识； ②对本项目的理解； ③项目总体策划方案。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针对本项目提供详细的实施方案，包括但不限于： ①“发现身边好网民”宣传方案； ②“网络文明进校园”活动方案； ③“好网民看西安”活动方案； ④西安好网民案例分享会活动方案； ⑤合理化建议； ⑥应急预案。 二、评审标准 1.完善性：方案必须全面，对评审内容中的各项要求有详细阐述； 2.可实施性：切合本项目实际情况，提出步骤清晰、合理的方案； 3.针对性：方案能够紧扣项目实际情况，内容科学合理。 上述6项评审内容全部满足评审标准得30分，每有一个评审内容缺项扣5分，每有一项评审内容存在缺陷，扣（0-5）分，扣完为止。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针对本项目提供详细的保障措施，包括但不限于： ①进度计划安排； ②进度保障措施； ③响应时效保障措施； ④项目管理方案。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上述4项评审内容全部满足评审标准得16分，每有一个评审内容缺项扣4分，每有一项评审内容存在缺陷，扣（0-4）分，扣完为止。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针对本项目提供详细的服务承诺，包括但不限于： ①质量控制措施； ②制定完善的各项规章制度等内容； ③针对本项目的质量保证承诺。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针对本项目提供详细的人员配备包括但不限于： ①有针对本项目的专业服务团队，人员配备数量充足； ②人员组织结构合理，有明确的岗位职责。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上述2项评审内容全部满足评审标准得8分，每有一个评审内容缺项扣4分，每有一项评审内容存在缺陷，扣（0-8）分，扣完为止。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供应商提供2022年7月1日至今同类项目业绩合同（以合同签订时间为准）；一个业绩得1分，最高得5分； 评审依据：提供合同复印件并加盖公章。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