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版本号：JXZB2025-N1032.20250714001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2025年干部网络学院课程建设项目(二次)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JXZB2025-N1032.</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2025年干部网络学院课程建设项目(二次)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JXZB2025-N1032.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2025年干部网络学院课程建设项目(二次)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西安开放大学2025年干部网络学院课程建设项目；采购包括慕课、优质课程及高端自建课程等。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证明：提具有良好的商业信誉和健全的财务会计制度：提供会计师事务所出具的有效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社会保障资金缴纳证明：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9、非联合体声明：本次项目不接受联合体。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陕西省西安市高新区丈八街办唐延路11号禾盛京广中心E座23层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屈琳妮、贾晓燕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029-89525802（转8001）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发展改革委关于进一步放开建设项目专业服务价格的通知》（发改价格（2015）299号）文件的要求，结合市场实际情况，经甲、乙双方协商一致，以中标金额为基准，下浮10.00%收取（不足4000元的按4000元计取）。在成交通知书发出前由成交供应商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联系人：屈琳妮、贾晓燕</w:t>
      </w:r>
    </w:p>
    <w:p>
      <w:pPr>
        <w:pStyle w:val="null3"/>
      </w:pPr>
      <w:r>
        <w:rPr>
          <w:rFonts w:ascii="仿宋_GB2312" w:hAnsi="仿宋_GB2312" w:cs="仿宋_GB2312" w:eastAsia="仿宋_GB2312"/>
        </w:rPr>
        <w:t>联系电话：029-89525802（转8001）</w:t>
      </w:r>
    </w:p>
    <w:p>
      <w:pPr>
        <w:pStyle w:val="null3"/>
      </w:pPr>
      <w:r>
        <w:rPr>
          <w:rFonts w:ascii="仿宋_GB2312" w:hAnsi="仿宋_GB2312" w:cs="仿宋_GB2312" w:eastAsia="仿宋_GB2312"/>
        </w:rPr>
        <w:t>地址：陕西省西安市高新区丈八街办唐延路11号禾盛京广中心E座23层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陕西干部网络学院和西安干部网络学院为进一步加强干部教育网络培训工作，不断提升干部网络培训质量，确保培训的时效性和针对性，拓宽课程建设渠道，购置高端课程用于干部在线学习。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干部网络学院课程建设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标的名称：干部网络学院课程建设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226"/>
              <w:gridCol w:w="2146"/>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参数性质</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2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技术参数与性能指标</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pPr>
                  <w:r>
                    <w:rPr>
                      <w:rFonts w:ascii="仿宋_GB2312" w:hAnsi="仿宋_GB2312" w:cs="仿宋_GB2312" w:eastAsia="仿宋_GB2312"/>
                      <w:sz w:val="20"/>
                      <w:b/>
                    </w:rPr>
                    <w:t>一、项目概况</w:t>
                  </w:r>
                </w:p>
                <w:p>
                  <w:pPr>
                    <w:pStyle w:val="null3"/>
                    <w:spacing w:before="60" w:after="60"/>
                    <w:ind w:firstLine="200"/>
                  </w:pPr>
                  <w:r>
                    <w:rPr>
                      <w:rFonts w:ascii="仿宋_GB2312" w:hAnsi="仿宋_GB2312" w:cs="仿宋_GB2312" w:eastAsia="仿宋_GB2312"/>
                      <w:sz w:val="20"/>
                    </w:rPr>
                    <w:t>按照《陕西省干部教育培训规划（</w:t>
                  </w:r>
                  <w:r>
                    <w:rPr>
                      <w:rFonts w:ascii="仿宋_GB2312" w:hAnsi="仿宋_GB2312" w:cs="仿宋_GB2312" w:eastAsia="仿宋_GB2312"/>
                      <w:sz w:val="20"/>
                    </w:rPr>
                    <w:t>2023—2027年</w:t>
                  </w:r>
                  <w:r>
                    <w:rPr>
                      <w:rFonts w:ascii="仿宋_GB2312" w:hAnsi="仿宋_GB2312" w:cs="仿宋_GB2312" w:eastAsia="仿宋_GB2312"/>
                      <w:sz w:val="20"/>
                    </w:rPr>
                    <w:t>）</w:t>
                  </w:r>
                  <w:r>
                    <w:rPr>
                      <w:rFonts w:ascii="仿宋_GB2312" w:hAnsi="仿宋_GB2312" w:cs="仿宋_GB2312" w:eastAsia="仿宋_GB2312"/>
                      <w:sz w:val="20"/>
                    </w:rPr>
                    <w:t>》文件要求</w:t>
                  </w:r>
                  <w:r>
                    <w:rPr>
                      <w:rFonts w:ascii="仿宋_GB2312" w:hAnsi="仿宋_GB2312" w:cs="仿宋_GB2312" w:eastAsia="仿宋_GB2312"/>
                      <w:sz w:val="20"/>
                    </w:rPr>
                    <w:t>，</w:t>
                  </w:r>
                  <w:r>
                    <w:rPr>
                      <w:rFonts w:ascii="仿宋_GB2312" w:hAnsi="仿宋_GB2312" w:cs="仿宋_GB2312" w:eastAsia="仿宋_GB2312"/>
                      <w:sz w:val="20"/>
                    </w:rPr>
                    <w:t>为进一步加强干部教育网络培训工作，不断提升干部网络培训质量，确保培训的时效性和针对性，</w:t>
                  </w:r>
                  <w:r>
                    <w:rPr>
                      <w:rFonts w:ascii="仿宋_GB2312" w:hAnsi="仿宋_GB2312" w:cs="仿宋_GB2312" w:eastAsia="仿宋_GB2312"/>
                      <w:sz w:val="20"/>
                    </w:rPr>
                    <w:t>需采购及建设相关课程资源，</w:t>
                  </w:r>
                  <w:r>
                    <w:rPr>
                      <w:rFonts w:ascii="仿宋_GB2312" w:hAnsi="仿宋_GB2312" w:cs="仿宋_GB2312" w:eastAsia="仿宋_GB2312"/>
                      <w:sz w:val="20"/>
                      <w:b/>
                    </w:rPr>
                    <w:t>课程目录如下：</w:t>
                  </w:r>
                </w:p>
                <w:tbl>
                  <w:tblPr>
                    <w:tblBorders>
                      <w:top w:val="none" w:color="000000" w:sz="4"/>
                      <w:left w:val="none" w:color="000000" w:sz="4"/>
                      <w:bottom w:val="none" w:color="000000" w:sz="4"/>
                      <w:right w:val="none" w:color="000000" w:sz="4"/>
                      <w:insideH w:val="none"/>
                      <w:insideV w:val="none"/>
                    </w:tblBorders>
                  </w:tblPr>
                  <w:tblGrid>
                    <w:gridCol w:w="250"/>
                    <w:gridCol w:w="1675"/>
                  </w:tblGrid>
                  <w:tr>
                    <w:tc>
                      <w:tcPr>
                        <w:tcW w:type="dxa" w:w="250"/>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1"/>
                            <w:b/>
                          </w:rPr>
                          <w:t>序号</w:t>
                        </w:r>
                      </w:p>
                    </w:tc>
                    <w:tc>
                      <w:tcPr>
                        <w:tcW w:type="dxa" w:w="1675"/>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spacing w:before="60" w:after="60"/>
                          <w:ind w:firstLine="422"/>
                          <w:jc w:val="center"/>
                        </w:pPr>
                        <w:r>
                          <w:rPr>
                            <w:rFonts w:ascii="仿宋_GB2312" w:hAnsi="仿宋_GB2312" w:cs="仿宋_GB2312" w:eastAsia="仿宋_GB2312"/>
                            <w:sz w:val="21"/>
                            <w:b/>
                          </w:rPr>
                          <w:t>课程名称</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实施科教兴国战略，强化现代化建设人才支撑</w:t>
                        </w:r>
                        <w:r>
                          <w:rPr>
                            <w:rFonts w:ascii="仿宋_GB2312" w:hAnsi="仿宋_GB2312" w:cs="仿宋_GB2312" w:eastAsia="仿宋_GB2312"/>
                            <w:sz w:val="20"/>
                          </w:rPr>
                          <w:t xml:space="preserve">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对接高标准国际自贸规则</w:t>
                        </w:r>
                        <w:r>
                          <w:rPr>
                            <w:rFonts w:ascii="仿宋_GB2312" w:hAnsi="仿宋_GB2312" w:cs="仿宋_GB2312" w:eastAsia="仿宋_GB2312"/>
                            <w:sz w:val="20"/>
                          </w:rPr>
                          <w:t>推进高质量制度型开放</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以党建引领基层治理</w:t>
                        </w:r>
                        <w:r>
                          <w:rPr>
                            <w:rFonts w:ascii="仿宋_GB2312" w:hAnsi="仿宋_GB2312" w:cs="仿宋_GB2312" w:eastAsia="仿宋_GB2312"/>
                            <w:sz w:val="20"/>
                          </w:rPr>
                          <w:t xml:space="preserve">                         </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学习关于领导干部加强党性修养的重要论述</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新时代党的作风建设取得历史性、开创性成就</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中央八项规定的提出及其主要内容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关于中央八项规定是怎样严格执行的</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深化落实中央八项规定精神</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传承党的光荣传统和优良作风</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以优良党风引领社风民风</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持续纠治享乐主义、奢靡之风</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把纠治形式主义、官僚主义摆在更加突出位置</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持续深化整治群众身边不正之风</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紧盯</w:t>
                        </w:r>
                        <w:r>
                          <w:rPr>
                            <w:rFonts w:ascii="仿宋_GB2312" w:hAnsi="仿宋_GB2312" w:cs="仿宋_GB2312" w:eastAsia="仿宋_GB2312"/>
                            <w:sz w:val="20"/>
                          </w:rPr>
                          <w:t>“关键少数”形成“头雁效应”</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深入推进风腐同查同治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以作风建设新成效为推进中国式现代化提供坚强保障</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深入贯彻中央八项规定精神的成效和经验</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深入学习关于党的建设的重要思想</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19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学习关于党的自我革命的重要思想</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w:t>
                        </w:r>
                        <w:r>
                          <w:rPr>
                            <w:rFonts w:ascii="仿宋_GB2312" w:hAnsi="仿宋_GB2312" w:cs="仿宋_GB2312" w:eastAsia="仿宋_GB2312"/>
                            <w:sz w:val="20"/>
                          </w:rPr>
                          <w:t>“人工智能+”赋能未来产业</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加大保障和改善民生力度</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我国优化营商环境的成效、经验和方向</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坚持党建引领</w:t>
                        </w:r>
                        <w:r>
                          <w:rPr>
                            <w:rFonts w:ascii="仿宋_GB2312" w:hAnsi="仿宋_GB2312" w:cs="仿宋_GB2312" w:eastAsia="仿宋_GB2312"/>
                            <w:sz w:val="20"/>
                          </w:rPr>
                          <w:t>提升基层治理效能</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加强基层政权治理能力建设</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学习关于基层治理论述摘编</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新时代提升基层治理能力的根本路径</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把基层党组织建设成为有效实现党的领导的坚强战斗堡垒</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做好互联网</w:t>
                        </w:r>
                        <w:r>
                          <w:rPr>
                            <w:rFonts w:ascii="仿宋_GB2312" w:hAnsi="仿宋_GB2312" w:cs="仿宋_GB2312" w:eastAsia="仿宋_GB2312"/>
                            <w:sz w:val="20"/>
                          </w:rPr>
                          <w:t>+基层党务工作</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境外投资与合作创新模式：理论与实践</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加快推动国有企业国际化经营高质量发展</w:t>
                        </w:r>
                        <w:r>
                          <w:rPr>
                            <w:rFonts w:ascii="仿宋_GB2312" w:hAnsi="仿宋_GB2312" w:cs="仿宋_GB2312" w:eastAsia="仿宋_GB2312"/>
                            <w:sz w:val="20"/>
                          </w:rPr>
                          <w:t>服务共建</w:t>
                        </w:r>
                        <w:r>
                          <w:rPr>
                            <w:rFonts w:ascii="仿宋_GB2312" w:hAnsi="仿宋_GB2312" w:cs="仿宋_GB2312" w:eastAsia="仿宋_GB2312"/>
                            <w:sz w:val="20"/>
                          </w:rPr>
                          <w:t>“一带一路”走深走实</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中国企业</w:t>
                        </w:r>
                        <w:r>
                          <w:rPr>
                            <w:rFonts w:ascii="仿宋_GB2312" w:hAnsi="仿宋_GB2312" w:cs="仿宋_GB2312" w:eastAsia="仿宋_GB2312"/>
                            <w:sz w:val="20"/>
                          </w:rPr>
                          <w:t>“走出去”面临的新形势与路径选择</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以制度型开放塑造一流营商环境</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加强和创新基层社会治理</w:t>
                        </w:r>
                        <w:r>
                          <w:rPr>
                            <w:rFonts w:ascii="仿宋_GB2312" w:hAnsi="仿宋_GB2312" w:cs="仿宋_GB2312" w:eastAsia="仿宋_GB2312"/>
                            <w:sz w:val="20"/>
                          </w:rPr>
                          <w:t>提高基层治理效能</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人工智能大模型</w:t>
                        </w:r>
                        <w:r>
                          <w:rPr>
                            <w:rFonts w:ascii="仿宋_GB2312" w:hAnsi="仿宋_GB2312" w:cs="仿宋_GB2312" w:eastAsia="仿宋_GB2312"/>
                            <w:sz w:val="20"/>
                          </w:rPr>
                          <w:t>DeepSeek引发的技术创新、产业变革和竞争格局变化</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DeepSeek：从入门到高效应用</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“人工智能+”撬动新质生产力培育</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2025年全国两会精神解读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深入学习全国两会期间发表的重要讲话精神</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39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应用技巧分享：如何用</w:t>
                        </w:r>
                        <w:r>
                          <w:rPr>
                            <w:rFonts w:ascii="仿宋_GB2312" w:hAnsi="仿宋_GB2312" w:cs="仿宋_GB2312" w:eastAsia="仿宋_GB2312"/>
                            <w:sz w:val="20"/>
                          </w:rPr>
                          <w:t>DeepSeek助力办公效能提升</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推动</w:t>
                        </w:r>
                        <w:r>
                          <w:rPr>
                            <w:rFonts w:ascii="仿宋_GB2312" w:hAnsi="仿宋_GB2312" w:cs="仿宋_GB2312" w:eastAsia="仿宋_GB2312"/>
                            <w:sz w:val="20"/>
                          </w:rPr>
                          <w:t>“人工智能+”行动走深走实</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新一代人工智能技术赋能国家治理现代化</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人工智能大模型的进展与展望</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把握新型人工智能发展的历史性机遇</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加快传统产业转型升级</w:t>
                        </w:r>
                        <w:r>
                          <w:rPr>
                            <w:rFonts w:ascii="仿宋_GB2312" w:hAnsi="仿宋_GB2312" w:cs="仿宋_GB2312" w:eastAsia="仿宋_GB2312"/>
                            <w:sz w:val="20"/>
                          </w:rPr>
                          <w:t>夯实现代化产业体系基础</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低空经济及其产业发展</w:t>
                        </w:r>
                        <w:r>
                          <w:rPr>
                            <w:rFonts w:ascii="仿宋_GB2312" w:hAnsi="仿宋_GB2312" w:cs="仿宋_GB2312" w:eastAsia="仿宋_GB2312"/>
                            <w:sz w:val="20"/>
                          </w:rPr>
                          <w:t>——把握机会、布局未来</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推动民营企业和民营企业家在新时代新征程中大显身手</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我国服务消费的概念界定、重要意义、主要特征和关键举措</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聚焦提高党的领导水平和长期执政能力</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49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人文修养的三重境界</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机关、单位泄密风险和防范对策（案例分析）</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当前保密工作面临的新形势、新任务</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以全面深化改革打通束缚新质生产力发展的堵点卡点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中国经济发展新阶段的数字技术发展战略</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生成式人工智能迈向物理世界</w:t>
                        </w:r>
                        <w:r>
                          <w:rPr>
                            <w:rFonts w:ascii="仿宋_GB2312" w:hAnsi="仿宋_GB2312" w:cs="仿宋_GB2312" w:eastAsia="仿宋_GB2312"/>
                            <w:sz w:val="20"/>
                          </w:rPr>
                          <w:t>——“AI+”带来制造业变革新机遇</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《关于进一步优化外商投资环境　加大吸引外商投资力度的意见》解读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如何抓好抓实促进民间投资工作</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《关于规范实施政府和社会资本合作新机制的指导意见》解读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突发事件应急预案管理</w:t>
                        </w:r>
                        <w:r>
                          <w:rPr>
                            <w:rFonts w:ascii="仿宋_GB2312" w:hAnsi="仿宋_GB2312" w:cs="仿宋_GB2312" w:eastAsia="仿宋_GB2312"/>
                            <w:sz w:val="20"/>
                          </w:rPr>
                          <w:t>——2024版《突发事件应急预案管理办法》解读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59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切实保障和改善民生，加强和创新社会治理</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着力扩大国内需求，推动经济实现良性循环</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更好统筹发展和安全，有效防范化解重点领域金融风险</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数智技术赋能高端文旅装备产业转型升级</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完善养老金融政策体系，支持养老事业发展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新媒体环境下群体性突发事件处理</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未来产业发展形势与地方实践</w:t>
                        </w:r>
                        <w:r>
                          <w:rPr>
                            <w:rFonts w:ascii="仿宋_GB2312" w:hAnsi="仿宋_GB2312" w:cs="仿宋_GB2312" w:eastAsia="仿宋_GB2312"/>
                            <w:sz w:val="20"/>
                          </w:rPr>
                          <w:t>——《关于推动未来产业创新发展的实施意见》解读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发扬科学家、企业家和工匠精神，大力培育新型劳动者，助力新质生产力发展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数字农业和数字乡村建设实践</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《关于进一步加强青年科技人才培养和使用的若干措施》解读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69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奋力开创数据工作新局面</w:t>
                        </w:r>
                        <w:r>
                          <w:rPr>
                            <w:rFonts w:ascii="仿宋_GB2312" w:hAnsi="仿宋_GB2312" w:cs="仿宋_GB2312" w:eastAsia="仿宋_GB2312"/>
                            <w:sz w:val="20"/>
                          </w:rPr>
                          <w:t>——学习关于数据发展和安全的重要论述</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生成式人工智能（</w:t>
                        </w:r>
                        <w:r>
                          <w:rPr>
                            <w:rFonts w:ascii="仿宋_GB2312" w:hAnsi="仿宋_GB2312" w:cs="仿宋_GB2312" w:eastAsia="仿宋_GB2312"/>
                            <w:sz w:val="20"/>
                          </w:rPr>
                          <w:t>AIGC）驱动的数字经济产业应用创新</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领导干部如何运用法治思维和法治方式防范化解重大风险</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推动商旅文体深度融合，持续激发消费新活力</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战略性新兴产业融合集群打造与发展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如何运用法治思维和法治方式解决矛盾纠纷</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政府投资项目实施规范要点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深化科技体制改革，构建支持全面创新体制机制</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正确认识与妥善化解地方政府债务风险</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全面建立跨境服务贸易负面清单制度，在高水平开放中实现服务贸易高质量发展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79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服务消费：消费升级与经济发展的新动力</w:t>
                        </w:r>
                        <w:r>
                          <w:rPr>
                            <w:rFonts w:ascii="仿宋_GB2312" w:hAnsi="仿宋_GB2312" w:cs="仿宋_GB2312" w:eastAsia="仿宋_GB2312"/>
                            <w:sz w:val="20"/>
                          </w:rPr>
                          <w:t>——《关于促进服务消费高质量发展的意见》解读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《中共中央办公厅</w:t>
                        </w:r>
                        <w:r>
                          <w:rPr>
                            <w:rFonts w:ascii="仿宋_GB2312" w:hAnsi="仿宋_GB2312" w:cs="仿宋_GB2312" w:eastAsia="仿宋_GB2312"/>
                            <w:sz w:val="20"/>
                          </w:rPr>
                          <w:t>国务院办公厅关于进一步提升基层应急管理能力的意见》解读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坚持</w:t>
                        </w:r>
                        <w:r>
                          <w:rPr>
                            <w:rFonts w:ascii="仿宋_GB2312" w:hAnsi="仿宋_GB2312" w:cs="仿宋_GB2312" w:eastAsia="仿宋_GB2312"/>
                            <w:sz w:val="20"/>
                          </w:rPr>
                          <w:t>“立新标”“破四唯”并举，持续推进人才评价改革</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《中共中央国务院关于实施就业优先战略促进高质量充分就业的意见》解读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产业基金和产业投资实务</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以科技创新引领人形机器人产业发展与体系建设</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我国多层次资本市场的建设与发展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新质生产力与人才工作</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牢牢把握就业工作的新定位新使命，促进高质量充分就业</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《中共中央国务院关于深化养老服务改革发展的意见》解读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89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《整治形式主义为基层减负若干规定》解读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促进民营经济健康发展、高质量发展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聚焦主题，注重实效</w:t>
                        </w:r>
                        <w:r>
                          <w:rPr>
                            <w:rFonts w:ascii="仿宋_GB2312" w:hAnsi="仿宋_GB2312" w:cs="仿宋_GB2312" w:eastAsia="仿宋_GB2312"/>
                            <w:sz w:val="20"/>
                          </w:rPr>
                          <w:t>——深入贯彻中央八项规定精神学习教育</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关于加强党的作风建设论述摘编学习辅导</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新能源汽车发展面临的机遇与挑战</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全球人工智能发展新形势、新趋势、新动向</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面向新质生产力，</w:t>
                        </w:r>
                        <w:r>
                          <w:rPr>
                            <w:rFonts w:ascii="仿宋_GB2312" w:hAnsi="仿宋_GB2312" w:cs="仿宋_GB2312" w:eastAsia="仿宋_GB2312"/>
                            <w:sz w:val="20"/>
                          </w:rPr>
                          <w:t>“人工智能+”怎么加</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机器人技术推动智能制造技术变革和产业升级</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软件产业集群建设推进模式、路径和政策保障</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坚持</w:t>
                        </w:r>
                        <w:r>
                          <w:rPr>
                            <w:rFonts w:ascii="仿宋_GB2312" w:hAnsi="仿宋_GB2312" w:cs="仿宋_GB2312" w:eastAsia="仿宋_GB2312"/>
                            <w:sz w:val="20"/>
                          </w:rPr>
                          <w:t>“留改拆”并举，扎实有序推进城市更新——新时期城市更新政策趋势和典型案例解析</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99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实施城市更新行动，促进区域优势互补、各展其长</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《关于深化智慧城市发展</w:t>
                        </w:r>
                        <w:r>
                          <w:rPr>
                            <w:rFonts w:ascii="仿宋_GB2312" w:hAnsi="仿宋_GB2312" w:cs="仿宋_GB2312" w:eastAsia="仿宋_GB2312"/>
                            <w:sz w:val="20"/>
                          </w:rPr>
                          <w:t>推进城市全域数字化转型的指导意见》解读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国土空间规划中的</w:t>
                        </w:r>
                        <w:r>
                          <w:rPr>
                            <w:rFonts w:ascii="仿宋_GB2312" w:hAnsi="仿宋_GB2312" w:cs="仿宋_GB2312" w:eastAsia="仿宋_GB2312"/>
                            <w:sz w:val="20"/>
                          </w:rPr>
                          <w:t>“历史文化空间”的识别和管控</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加快规划建设新型能源体系，更好推动绿色低碳循环发展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提升绿色金融服务能力，助推绿色低碳转型</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“双碳”战略下绿色低碳转型的重点方向及政策展望</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江苏徐州丰县振丰</w:t>
                        </w:r>
                        <w:r>
                          <w:rPr>
                            <w:rFonts w:ascii="仿宋_GB2312" w:hAnsi="仿宋_GB2312" w:cs="仿宋_GB2312" w:eastAsia="仿宋_GB2312"/>
                            <w:sz w:val="20"/>
                          </w:rPr>
                          <w:t>EOD绿色循环高质量发展模式探索</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《国务院关于进一步优化政务服务提升行政效能推动</w:t>
                        </w:r>
                        <w:r>
                          <w:rPr>
                            <w:rFonts w:ascii="仿宋_GB2312" w:hAnsi="仿宋_GB2312" w:cs="仿宋_GB2312" w:eastAsia="仿宋_GB2312"/>
                            <w:sz w:val="20"/>
                          </w:rPr>
                          <w:t>“高效办成一件事”的指导意见》解读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推进政府诚信建设，优化民营经济发展环境</w:t>
                        </w:r>
                        <w:r>
                          <w:rPr>
                            <w:rFonts w:ascii="仿宋_GB2312" w:hAnsi="仿宋_GB2312" w:cs="仿宋_GB2312" w:eastAsia="仿宋_GB2312"/>
                            <w:sz w:val="20"/>
                          </w:rPr>
                          <w:t>——《关于完善政府诚信履约机制优化民营经济发展环境的通知》解读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打造智慧共享、和睦共治的新型数字社区</w:t>
                        </w:r>
                        <w:r>
                          <w:rPr>
                            <w:rFonts w:ascii="仿宋_GB2312" w:hAnsi="仿宋_GB2312" w:cs="仿宋_GB2312" w:eastAsia="仿宋_GB2312"/>
                            <w:sz w:val="20"/>
                          </w:rPr>
                          <w:t>——《关于深入推进智慧社区建设的意见》解读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109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《继承和发扬党的优良革命传统和作风，弘扬延安精神》学习辅导</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深入学习关于调查研究的重要论述</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走好网上群众路线，规范党员干部网络行为</w:t>
                        </w:r>
                        <w:r>
                          <w:rPr>
                            <w:rFonts w:ascii="仿宋_GB2312" w:hAnsi="仿宋_GB2312" w:cs="仿宋_GB2312" w:eastAsia="仿宋_GB2312"/>
                            <w:sz w:val="20"/>
                          </w:rPr>
                          <w:t>——《中国共产党党员网络行为规定》解读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以案为鉴、以案促改，树立正确的权力观政绩观事业观</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大数据、人工智能等在政务服务中的应用场景</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上海、浙江、江苏等地营商环境创新案例解析</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我国消费发展趋势、重点领域和难点堵点</w:t>
                        </w:r>
                        <w:r>
                          <w:rPr>
                            <w:rFonts w:ascii="仿宋_GB2312" w:hAnsi="仿宋_GB2312" w:cs="仿宋_GB2312" w:eastAsia="仿宋_GB2312"/>
                            <w:sz w:val="20"/>
                          </w:rPr>
                          <w:t>-——《优化消费环境三年行动方案（2025-2027）》解读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深刻把握数智化时代的社会主义意识形态建设</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AI时代保密工作的多重挑战与风险防范策略</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积极推进金融数字化和金融科技高质量发展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119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聚焦新时代经济发展、改革和开放的新思路</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推进我国科技成果高效转化的基本建议</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稳步推动产业低碳化发展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以数字化招商促进新质生产力发展，为产业发展注入新活力</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统筹扩大内需和深化供给侧结构性改革的原因分析</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统筹扩大内需和深化供给侧结构性改革的可能路径</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人工智能赋能新经济新消费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“碎片化”情境下的文化消费突围</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新质能源发展趋势与产业布局</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健全保障和改善民生制度体系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129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大秦岭与中华文明的形成演进</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防范化解风险的西安实践</w:t>
                        </w:r>
                        <w:r>
                          <w:rPr>
                            <w:rFonts w:ascii="仿宋_GB2312" w:hAnsi="仿宋_GB2312" w:cs="仿宋_GB2312" w:eastAsia="仿宋_GB2312"/>
                            <w:sz w:val="20"/>
                          </w:rPr>
                          <w:t>——西安高陵破解“邻避” 难题的“忧”与“喜”</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法治中国建设的新篇章</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深入学习生态文明思想</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武功电商的探索与实践</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照金精神及其时代价值</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中共渭南市委组织部</w:t>
                        </w:r>
                        <w:r>
                          <w:rPr>
                            <w:rFonts w:ascii="仿宋_GB2312" w:hAnsi="仿宋_GB2312" w:cs="仿宋_GB2312" w:eastAsia="仿宋_GB2312"/>
                            <w:sz w:val="20"/>
                          </w:rPr>
                          <w:t>--文明交流互鉴理念及其实践路径</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七年知青岁月对青年干部成长的启示</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延安时期共产党人的优良家风</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转战陕北路</w:t>
                        </w:r>
                        <w:r>
                          <w:rPr>
                            <w:rFonts w:ascii="仿宋_GB2312" w:hAnsi="仿宋_GB2312" w:cs="仿宋_GB2312" w:eastAsia="仿宋_GB2312"/>
                            <w:sz w:val="20"/>
                          </w:rPr>
                          <w:t>光耀新中国</w:t>
                        </w:r>
                        <w:r>
                          <w:rPr>
                            <w:rFonts w:ascii="仿宋_GB2312" w:hAnsi="仿宋_GB2312" w:cs="仿宋_GB2312" w:eastAsia="仿宋_GB2312"/>
                            <w:sz w:val="20"/>
                          </w:rPr>
                          <w:t>——中共中央转战陕北历程、意义及现实启示</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139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榆林治沙的实践探索及启示</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赓续红色血脉</w:t>
                        </w:r>
                        <w:r>
                          <w:rPr>
                            <w:rFonts w:ascii="仿宋_GB2312" w:hAnsi="仿宋_GB2312" w:cs="仿宋_GB2312" w:eastAsia="仿宋_GB2312"/>
                            <w:sz w:val="20"/>
                          </w:rPr>
                          <w:t>锤炼党性修养</w:t>
                        </w:r>
                        <w:r>
                          <w:rPr>
                            <w:rFonts w:ascii="仿宋_GB2312" w:hAnsi="仿宋_GB2312" w:cs="仿宋_GB2312" w:eastAsia="仿宋_GB2312"/>
                            <w:sz w:val="20"/>
                          </w:rPr>
                          <w:t>——以川陕苏区创建为例</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抓党建促乡村振兴</w:t>
                        </w:r>
                        <w:r>
                          <w:rPr>
                            <w:rFonts w:ascii="仿宋_GB2312" w:hAnsi="仿宋_GB2312" w:cs="仿宋_GB2312" w:eastAsia="仿宋_GB2312"/>
                            <w:sz w:val="20"/>
                          </w:rPr>
                          <w:t>——安康市“三联”工作机制的实践</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筑梦新征程</w:t>
                        </w:r>
                        <w:r>
                          <w:rPr>
                            <w:rFonts w:ascii="仿宋_GB2312" w:hAnsi="仿宋_GB2312" w:cs="仿宋_GB2312" w:eastAsia="仿宋_GB2312"/>
                            <w:sz w:val="20"/>
                          </w:rPr>
                          <w:t>共创新生活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深入学习关于党的自我革命的重要思想</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关于做好新时代党的统一战线工作的重要思想</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知之愈明</w:t>
                        </w:r>
                        <w:r>
                          <w:rPr>
                            <w:rFonts w:ascii="仿宋_GB2312" w:hAnsi="仿宋_GB2312" w:cs="仿宋_GB2312" w:eastAsia="仿宋_GB2312"/>
                            <w:sz w:val="20"/>
                          </w:rPr>
                          <w:t>则行之愈笃</w:t>
                        </w:r>
                        <w:r>
                          <w:rPr>
                            <w:rFonts w:ascii="仿宋_GB2312" w:hAnsi="仿宋_GB2312" w:cs="仿宋_GB2312" w:eastAsia="仿宋_GB2312"/>
                            <w:sz w:val="20"/>
                          </w:rPr>
                          <w:t>——学习关于新时代公安工作的重要论述</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《弘扬延安精神</w:t>
                        </w:r>
                        <w:r>
                          <w:rPr>
                            <w:rFonts w:ascii="仿宋_GB2312" w:hAnsi="仿宋_GB2312" w:cs="仿宋_GB2312" w:eastAsia="仿宋_GB2312"/>
                            <w:sz w:val="20"/>
                          </w:rPr>
                          <w:t>铸就三秦警魂》系列课程</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弘扬伟大建党精神</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情景式教学《致敬》</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149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推进乡村全面振兴</w:t>
                        </w:r>
                        <w:r>
                          <w:rPr>
                            <w:rFonts w:ascii="仿宋_GB2312" w:hAnsi="仿宋_GB2312" w:cs="仿宋_GB2312" w:eastAsia="仿宋_GB2312"/>
                            <w:sz w:val="20"/>
                          </w:rPr>
                          <w:t>助力陕西高质量发展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文化思想的深刻内涵及其时代价值</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《共产党宣言》及其当代价值</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燎原</w:t>
                        </w:r>
                        <w:r>
                          <w:rPr>
                            <w:rFonts w:ascii="仿宋_GB2312" w:hAnsi="仿宋_GB2312" w:cs="仿宋_GB2312" w:eastAsia="仿宋_GB2312"/>
                            <w:sz w:val="20"/>
                          </w:rPr>
                          <w:t>-中国共产党陕西历史</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生态环境保护督察与政府法律责任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“枫桥经验”与基层社会治理现代化</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突发事件的应急处置与应对</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热点事件的处置与引导</w:t>
                        </w:r>
                        <w:r>
                          <w:rPr>
                            <w:rFonts w:ascii="仿宋_GB2312" w:hAnsi="仿宋_GB2312" w:cs="仿宋_GB2312" w:eastAsia="仿宋_GB2312"/>
                            <w:sz w:val="20"/>
                          </w:rPr>
                          <w:t>——以重庆燃气计费多收事件为例</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中华优秀传统文化的创造性转化与创新性发展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“横渠四句”与共产党人修养</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159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创新驱动高质量的陕西实践</w:t>
                        </w:r>
                        <w:r>
                          <w:rPr>
                            <w:rFonts w:ascii="仿宋_GB2312" w:hAnsi="仿宋_GB2312" w:cs="仿宋_GB2312" w:eastAsia="仿宋_GB2312"/>
                            <w:sz w:val="20"/>
                          </w:rPr>
                          <w:t>从</w:t>
                        </w:r>
                        <w:r>
                          <w:rPr>
                            <w:rFonts w:ascii="仿宋_GB2312" w:hAnsi="仿宋_GB2312" w:cs="仿宋_GB2312" w:eastAsia="仿宋_GB2312"/>
                            <w:sz w:val="20"/>
                          </w:rPr>
                          <w:t>“一院一所”到“秦创原”</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新时代中国特色社会主义思想的世界观方法论</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延安整风运动及其现实启示</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学习英烈事迹</w:t>
                        </w:r>
                        <w:r>
                          <w:rPr>
                            <w:rFonts w:ascii="仿宋_GB2312" w:hAnsi="仿宋_GB2312" w:cs="仿宋_GB2312" w:eastAsia="仿宋_GB2312"/>
                            <w:sz w:val="20"/>
                          </w:rPr>
                          <w:t>弘扬照金精神</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党的利益在第一位</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坚定的信仰不变的初心</w:t>
                        </w:r>
                        <w:r>
                          <w:rPr>
                            <w:rFonts w:ascii="仿宋_GB2312" w:hAnsi="仿宋_GB2312" w:cs="仿宋_GB2312" w:eastAsia="仿宋_GB2312"/>
                            <w:sz w:val="20"/>
                          </w:rPr>
                          <w:t>——烈士殉难井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西迁精神的历史意义与时代价值</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科技革命、产业创新与新质生产力发展</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167</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金融科技创新与生成式</w:t>
                        </w:r>
                        <w:r>
                          <w:rPr>
                            <w:rFonts w:ascii="仿宋_GB2312" w:hAnsi="仿宋_GB2312" w:cs="仿宋_GB2312" w:eastAsia="仿宋_GB2312"/>
                            <w:sz w:val="20"/>
                          </w:rPr>
                          <w:t>AI应用探讨</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168</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解码人工智能</w:t>
                        </w:r>
                        <w:r>
                          <w:rPr>
                            <w:rFonts w:ascii="仿宋_GB2312" w:hAnsi="仿宋_GB2312" w:cs="仿宋_GB2312" w:eastAsia="仿宋_GB2312"/>
                            <w:sz w:val="20"/>
                          </w:rPr>
                          <w:t>探索未来产业</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169</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公共政策执行的理论与实践</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170</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“一带一路”与高水平对外开放</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171</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社会主义现代化建设的教育、科技、人才战略：科技篇</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172</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智慧农业与数字乡村</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173</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迈向共同富裕的民生建设</w:t>
                        </w:r>
                        <w:r>
                          <w:rPr>
                            <w:rFonts w:ascii="仿宋_GB2312" w:hAnsi="仿宋_GB2312" w:cs="仿宋_GB2312" w:eastAsia="仿宋_GB2312"/>
                            <w:sz w:val="20"/>
                          </w:rPr>
                          <w:t>:理论发展与实践成效</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174</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微课讲党史</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175</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三秦大讲堂</w:t>
                        </w:r>
                        <w:r>
                          <w:rPr>
                            <w:rFonts w:ascii="仿宋_GB2312" w:hAnsi="仿宋_GB2312" w:cs="仿宋_GB2312" w:eastAsia="仿宋_GB2312"/>
                            <w:sz w:val="20"/>
                          </w:rPr>
                          <w:t>3门</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left"/>
                        </w:pPr>
                        <w:r>
                          <w:rPr>
                            <w:rFonts w:ascii="仿宋_GB2312" w:hAnsi="仿宋_GB2312" w:cs="仿宋_GB2312" w:eastAsia="仿宋_GB2312"/>
                            <w:sz w:val="20"/>
                          </w:rPr>
                          <w:t>176</w:t>
                        </w:r>
                      </w:p>
                    </w:tc>
                    <w:tc>
                      <w:tcPr>
                        <w:tcW w:type="dxa" w:w="1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00"/>
                          <w:jc w:val="left"/>
                        </w:pPr>
                        <w:r>
                          <w:rPr>
                            <w:rFonts w:ascii="仿宋_GB2312" w:hAnsi="仿宋_GB2312" w:cs="仿宋_GB2312" w:eastAsia="仿宋_GB2312"/>
                            <w:sz w:val="20"/>
                          </w:rPr>
                          <w:t>奋力谱写中国式现代化建设的陕西新篇章</w:t>
                        </w:r>
                      </w:p>
                    </w:tc>
                  </w:tr>
                </w:tbl>
                <w:p>
                  <w:pPr>
                    <w:pStyle w:val="null3"/>
                    <w:spacing w:before="60" w:after="60"/>
                  </w:pPr>
                  <w:r>
                    <w:rPr>
                      <w:rFonts w:ascii="仿宋_GB2312" w:hAnsi="仿宋_GB2312" w:cs="仿宋_GB2312" w:eastAsia="仿宋_GB2312"/>
                      <w:sz w:val="20"/>
                      <w:b/>
                    </w:rPr>
                    <w:t>★以上所列课程须在技术（服务）要求响应偏离表中明确主讲人，不明确视为不响应。</w:t>
                  </w:r>
                </w:p>
                <w:p>
                  <w:pPr>
                    <w:pStyle w:val="null3"/>
                    <w:spacing w:before="60" w:after="60"/>
                  </w:pPr>
                  <w:r>
                    <w:rPr>
                      <w:rFonts w:ascii="仿宋_GB2312" w:hAnsi="仿宋_GB2312" w:cs="仿宋_GB2312" w:eastAsia="仿宋_GB2312"/>
                      <w:sz w:val="20"/>
                      <w:b/>
                    </w:rPr>
                    <w:t>二、技术要求</w:t>
                  </w:r>
                </w:p>
                <w:p>
                  <w:pPr>
                    <w:pStyle w:val="null3"/>
                    <w:spacing w:before="60" w:after="60"/>
                    <w:ind w:firstLine="400"/>
                  </w:pPr>
                  <w:r>
                    <w:rPr>
                      <w:rFonts w:ascii="仿宋_GB2312" w:hAnsi="仿宋_GB2312" w:cs="仿宋_GB2312" w:eastAsia="仿宋_GB2312"/>
                      <w:sz w:val="20"/>
                    </w:rPr>
                    <w:t>(一)品质保证：供应商录制的课程资源必须具有良好的品质和口碑，内容准确无误。服务标准合格，应达到国家强制性合格标准。</w:t>
                  </w:r>
                </w:p>
                <w:p>
                  <w:pPr>
                    <w:pStyle w:val="null3"/>
                    <w:spacing w:before="60" w:after="60"/>
                    <w:ind w:firstLine="400"/>
                  </w:pPr>
                  <w:r>
                    <w:rPr>
                      <w:rFonts w:ascii="仿宋_GB2312" w:hAnsi="仿宋_GB2312" w:cs="仿宋_GB2312" w:eastAsia="仿宋_GB2312"/>
                      <w:sz w:val="20"/>
                    </w:rPr>
                    <w:t>(二)版权清晰：课程资源必须拥有清晰的版权归属，确保采购和使用过程中不会侵犯任何知识产权。如因此出现侵权问题的，采购人有权拒收，由此产生的一切费用由供应商承担。</w:t>
                  </w:r>
                </w:p>
                <w:p>
                  <w:pPr>
                    <w:pStyle w:val="null3"/>
                    <w:spacing w:before="60" w:after="60"/>
                    <w:ind w:firstLine="400"/>
                  </w:pPr>
                  <w:r>
                    <w:rPr>
                      <w:rFonts w:ascii="仿宋_GB2312" w:hAnsi="仿宋_GB2312" w:cs="仿宋_GB2312" w:eastAsia="仿宋_GB2312"/>
                      <w:sz w:val="20"/>
                    </w:rPr>
                    <w:t>(三)视频技术指标</w:t>
                  </w:r>
                </w:p>
                <w:p>
                  <w:pPr>
                    <w:pStyle w:val="null3"/>
                    <w:spacing w:before="60" w:after="60"/>
                    <w:ind w:firstLine="400"/>
                  </w:pPr>
                  <w:r>
                    <w:rPr>
                      <w:rFonts w:ascii="仿宋_GB2312" w:hAnsi="仿宋_GB2312" w:cs="仿宋_GB2312" w:eastAsia="仿宋_GB2312"/>
                      <w:sz w:val="20"/>
                    </w:rPr>
                    <w:t>(1)视频信号源，稳定性：全片图像同步性能稳定，无失步现象，CTL同步控制信号必须连续；图像无抖动跳跃，色彩无突变，编辑点处图像稳定。信噪比：图像信噪比不低于55dB,无明显杂波。色调：白平衡正确，无明显偏色，多机拍摄的镜头衔接处无明显色差。视频电平：视频全讯号幅度为1Vp-p,最大不超过1.1Vp-p。其中消隐电平为0V时，白电平幅度0.7Vp-p,同步信号-0.3V,色同步信号幅度0.3Vp-p (以消隐线上下对称),全片一致。</w:t>
                  </w:r>
                </w:p>
                <w:p>
                  <w:pPr>
                    <w:pStyle w:val="null3"/>
                    <w:spacing w:before="60" w:after="60"/>
                    <w:ind w:firstLine="400"/>
                  </w:pPr>
                  <w:r>
                    <w:rPr>
                      <w:rFonts w:ascii="仿宋_GB2312" w:hAnsi="仿宋_GB2312" w:cs="仿宋_GB2312" w:eastAsia="仿宋_GB2312"/>
                      <w:sz w:val="20"/>
                    </w:rPr>
                    <w:t>(2)音频信号源声道：中文内容音频信号记录于第1声道，音乐、音效、同期声记录于第2声道，若有其他文字解说记录于第3声道(如录音设备无第3声道，则录于第2声道)。电平指标：-2db—-8db声音应无明显失真、放音过冲、过弱。音频信噪比不低于48db。声音和画面要求同步，无交流声或其他杂音等缺陷。伴音清晰、饱满、圆润，无失真、噪声杂音干扰、音量忽大忽小现象。解说声与现场声无明显比例失调，解说声与背景音乐无明显比例失调。</w:t>
                  </w:r>
                </w:p>
                <w:p>
                  <w:pPr>
                    <w:pStyle w:val="null3"/>
                    <w:spacing w:before="60" w:after="60"/>
                    <w:ind w:firstLine="400"/>
                  </w:pPr>
                  <w:r>
                    <w:rPr>
                      <w:rFonts w:ascii="仿宋_GB2312" w:hAnsi="仿宋_GB2312" w:cs="仿宋_GB2312" w:eastAsia="仿宋_GB2312"/>
                      <w:sz w:val="20"/>
                    </w:rPr>
                    <w:t>(3)压缩参数：①视频压缩格式及技术参数：视频压缩采用H.264/AVC (MPEG-4 Part10)编码、使用二次编码、不包含字幕的MP4格式。视频码流率：动态码流的最高码率不高于2500 Kbps,最低码率不得低于1024Kbps。视频分辨率：前期采用高清16:9拍摄时，设定为1024×576。在同一课程中，各讲的视频分辨率统一，统一高清。视频画幅宽高比：分辨率设定为1280×720的，选定为16:9。在同一课程中，各讲画幅的宽高比统一。视频帧率为25帧/秒。扫描方式采用逐行扫描。②音频压缩格式及技术参数：音频压缩采用AAC(MPEG4Part3) 格式。采样率48KHz。音频码流率128Kbps(恒定)。</w:t>
                  </w:r>
                </w:p>
                <w:p>
                  <w:pPr>
                    <w:pStyle w:val="null3"/>
                    <w:ind w:firstLine="400"/>
                    <w:jc w:val="both"/>
                  </w:pPr>
                  <w:r>
                    <w:rPr>
                      <w:rFonts w:ascii="仿宋_GB2312" w:hAnsi="仿宋_GB2312" w:cs="仿宋_GB2312" w:eastAsia="仿宋_GB2312"/>
                      <w:sz w:val="20"/>
                    </w:rPr>
                    <w:t>(四)</w:t>
                  </w:r>
                  <w:r>
                    <w:rPr>
                      <w:rFonts w:ascii="仿宋_GB2312" w:hAnsi="仿宋_GB2312" w:cs="仿宋_GB2312" w:eastAsia="仿宋_GB2312"/>
                      <w:sz w:val="20"/>
                    </w:rPr>
                    <w:t>服务商所投课程的师资来源需为国家党政机关、中央党校、知名高校、研究机构等党建领域的知名专家、教授、学者。服务商所提供的课件须为自主版权，或课程厂商为此项目的单独授权文件。</w:t>
                  </w:r>
                </w:p>
                <w:p>
                  <w:pPr>
                    <w:pStyle w:val="null3"/>
                    <w:spacing w:before="60" w:after="60"/>
                  </w:pP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服务</w:t>
                  </w:r>
                  <w:r>
                    <w:rPr>
                      <w:rFonts w:ascii="仿宋_GB2312" w:hAnsi="仿宋_GB2312" w:cs="仿宋_GB2312" w:eastAsia="仿宋_GB2312"/>
                      <w:sz w:val="20"/>
                      <w:b/>
                    </w:rPr>
                    <w:t>要求：</w:t>
                  </w:r>
                </w:p>
                <w:p>
                  <w:pPr>
                    <w:pStyle w:val="null3"/>
                    <w:spacing w:before="60" w:after="60"/>
                  </w:pPr>
                  <w:r>
                    <w:rPr>
                      <w:rFonts w:ascii="仿宋_GB2312" w:hAnsi="仿宋_GB2312" w:cs="仿宋_GB2312" w:eastAsia="仿宋_GB2312"/>
                      <w:sz w:val="20"/>
                    </w:rPr>
                    <w:t>(一)供应商应当具有完成本项目所需的专业技术人员与生产设备。</w:t>
                  </w:r>
                </w:p>
                <w:p>
                  <w:pPr>
                    <w:pStyle w:val="null3"/>
                    <w:spacing w:before="60" w:after="60"/>
                  </w:pPr>
                  <w:r>
                    <w:rPr>
                      <w:rFonts w:ascii="仿宋_GB2312" w:hAnsi="仿宋_GB2312" w:cs="仿宋_GB2312" w:eastAsia="仿宋_GB2312"/>
                      <w:sz w:val="20"/>
                    </w:rPr>
                    <w:t>(二)供应商在执行本合同时出现课程资源质量问题，不符合质量要求应无条件予以的进行重新制作，至采购单位满意为止。</w:t>
                  </w:r>
                </w:p>
                <w:p>
                  <w:pPr>
                    <w:pStyle w:val="null3"/>
                    <w:spacing w:before="60" w:after="60"/>
                  </w:pPr>
                  <w:r>
                    <w:rPr>
                      <w:rFonts w:ascii="仿宋_GB2312" w:hAnsi="仿宋_GB2312" w:cs="仿宋_GB2312" w:eastAsia="仿宋_GB2312"/>
                      <w:sz w:val="20"/>
                    </w:rPr>
                    <w:t>(三)供应商应提供完善的售后服务和技术支持，确保课程资源的有效使用和维护。</w:t>
                  </w:r>
                </w:p>
                <w:p>
                  <w:pPr>
                    <w:pStyle w:val="null3"/>
                    <w:spacing w:before="60" w:after="60"/>
                  </w:pPr>
                  <w:r>
                    <w:rPr>
                      <w:rFonts w:ascii="仿宋_GB2312" w:hAnsi="仿宋_GB2312" w:cs="仿宋_GB2312" w:eastAsia="仿宋_GB2312"/>
                      <w:sz w:val="20"/>
                    </w:rPr>
                    <w:t>(四)课程资源完成期限严格按照甲方要求期限要求交付，不允许以任何借口推迟交付期限。</w:t>
                  </w:r>
                </w:p>
                <w:p>
                  <w:pPr>
                    <w:pStyle w:val="null3"/>
                    <w:spacing w:before="60" w:after="60"/>
                    <w:jc w:val="both"/>
                  </w:pPr>
                  <w:r>
                    <w:rPr>
                      <w:rFonts w:ascii="仿宋_GB2312" w:hAnsi="仿宋_GB2312" w:cs="仿宋_GB2312" w:eastAsia="仿宋_GB2312"/>
                      <w:sz w:val="20"/>
                      <w:b/>
                    </w:rPr>
                    <w:t>四、商务要求</w:t>
                  </w:r>
                </w:p>
                <w:p>
                  <w:pPr>
                    <w:pStyle w:val="null3"/>
                    <w:spacing w:before="60" w:after="60"/>
                    <w:ind w:firstLine="400"/>
                    <w:jc w:val="both"/>
                  </w:pPr>
                  <w:r>
                    <w:rPr>
                      <w:rFonts w:ascii="仿宋_GB2312" w:hAnsi="仿宋_GB2312" w:cs="仿宋_GB2312" w:eastAsia="仿宋_GB2312"/>
                      <w:sz w:val="20"/>
                    </w:rPr>
                    <w:t>(一)服务期限</w:t>
                  </w:r>
                </w:p>
                <w:p>
                  <w:pPr>
                    <w:pStyle w:val="null3"/>
                    <w:spacing w:before="60" w:after="60"/>
                    <w:ind w:firstLine="400"/>
                    <w:jc w:val="both"/>
                  </w:pPr>
                  <w:r>
                    <w:rPr>
                      <w:rFonts w:ascii="仿宋_GB2312" w:hAnsi="仿宋_GB2312" w:cs="仿宋_GB2312" w:eastAsia="仿宋_GB2312"/>
                      <w:sz w:val="20"/>
                    </w:rPr>
                    <w:t>自合同签订之日起一年。</w:t>
                  </w:r>
                </w:p>
                <w:p>
                  <w:pPr>
                    <w:pStyle w:val="null3"/>
                    <w:spacing w:before="60" w:after="60"/>
                    <w:ind w:firstLine="400"/>
                    <w:jc w:val="both"/>
                  </w:pPr>
                  <w:r>
                    <w:rPr>
                      <w:rFonts w:ascii="仿宋_GB2312" w:hAnsi="仿宋_GB2312" w:cs="仿宋_GB2312" w:eastAsia="仿宋_GB2312"/>
                      <w:sz w:val="20"/>
                    </w:rPr>
                    <w:t>一年内课程出现任何问题，乙方应及时维护。乙方未按甲方要求维护的</w:t>
                  </w:r>
                  <w:r>
                    <w:rPr>
                      <w:rFonts w:ascii="仿宋_GB2312" w:hAnsi="仿宋_GB2312" w:cs="仿宋_GB2312" w:eastAsia="仿宋_GB2312"/>
                      <w:sz w:val="20"/>
                    </w:rPr>
                    <w:t>,甲方有权聘请第三方进行维护，由此产生的费用由乙方承担。</w:t>
                  </w:r>
                </w:p>
                <w:p>
                  <w:pPr>
                    <w:pStyle w:val="null3"/>
                    <w:spacing w:before="60" w:after="60"/>
                    <w:ind w:firstLine="400"/>
                    <w:jc w:val="both"/>
                  </w:pPr>
                  <w:r>
                    <w:rPr>
                      <w:rFonts w:ascii="仿宋_GB2312" w:hAnsi="仿宋_GB2312" w:cs="仿宋_GB2312" w:eastAsia="仿宋_GB2312"/>
                      <w:sz w:val="20"/>
                    </w:rPr>
                    <w:t>(二)款项方式</w:t>
                  </w:r>
                </w:p>
                <w:p>
                  <w:pPr>
                    <w:pStyle w:val="null3"/>
                    <w:spacing w:before="60" w:after="60"/>
                    <w:ind w:firstLine="400"/>
                    <w:jc w:val="both"/>
                  </w:pPr>
                  <w:r>
                    <w:rPr>
                      <w:rFonts w:ascii="仿宋_GB2312" w:hAnsi="仿宋_GB2312" w:cs="仿宋_GB2312" w:eastAsia="仿宋_GB2312"/>
                      <w:sz w:val="20"/>
                    </w:rPr>
                    <w:t>本项目验收合格后且收到乙方开具的发票之日起，</w:t>
                  </w:r>
                  <w:r>
                    <w:rPr>
                      <w:rFonts w:ascii="仿宋_GB2312" w:hAnsi="仿宋_GB2312" w:cs="仿宋_GB2312" w:eastAsia="仿宋_GB2312"/>
                      <w:sz w:val="20"/>
                    </w:rPr>
                    <w:t>30个工作日内一次性付清本合同总价款的100%。</w:t>
                  </w:r>
                </w:p>
                <w:p>
                  <w:pPr>
                    <w:pStyle w:val="null3"/>
                    <w:spacing w:before="60" w:after="60"/>
                    <w:ind w:firstLine="400"/>
                    <w:jc w:val="both"/>
                  </w:pPr>
                  <w:r>
                    <w:rPr>
                      <w:rFonts w:ascii="仿宋_GB2312" w:hAnsi="仿宋_GB2312" w:cs="仿宋_GB2312" w:eastAsia="仿宋_GB2312"/>
                      <w:sz w:val="20"/>
                    </w:rPr>
                    <w:t>服务响应</w:t>
                  </w:r>
                </w:p>
                <w:p>
                  <w:pPr>
                    <w:pStyle w:val="null3"/>
                    <w:spacing w:before="60" w:after="60"/>
                    <w:ind w:firstLine="400"/>
                    <w:jc w:val="both"/>
                  </w:pPr>
                  <w:r>
                    <w:rPr>
                      <w:rFonts w:ascii="仿宋_GB2312" w:hAnsi="仿宋_GB2312" w:cs="仿宋_GB2312" w:eastAsia="仿宋_GB2312"/>
                      <w:sz w:val="20"/>
                    </w:rPr>
                    <w:t>1.服务响应时限:7*24 小时服务。</w:t>
                  </w:r>
                </w:p>
                <w:p>
                  <w:pPr>
                    <w:pStyle w:val="null3"/>
                    <w:spacing w:before="60" w:after="60"/>
                    <w:ind w:firstLine="400"/>
                    <w:jc w:val="both"/>
                  </w:pPr>
                  <w:r>
                    <w:rPr>
                      <w:rFonts w:ascii="仿宋_GB2312" w:hAnsi="仿宋_GB2312" w:cs="仿宋_GB2312" w:eastAsia="仿宋_GB2312"/>
                      <w:sz w:val="20"/>
                    </w:rPr>
                    <w:t>2.派专人提供售后服务。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一年内课程出现任何问题，乙方应及时维护。乙方未按甲方要求维护的，甲方有权聘请第三方进行维护，由此产生的费用由乙方承担。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本项目验收合格后且收到乙方开具的发票之日起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需向采购代理机构提交纸质版响应文件二份，纸质版文件须为电子响应文件的打印版。2.付款条件说明：本项目验收合格后且收到乙方开具的发票之日起，30个工作日内一次性付清本合同总价款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具有良好的商业信誉和健全的财务会计制度：提供会计师事务所出具的有效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供应商应提交的相关资格证明材料 响应文件（格式）.docx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响应文件（格式）.docx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响应文件按磋商文件要求的计量单位、报价货币及签字盖章</w:t>
            </w:r>
          </w:p>
        </w:tc>
        <w:tc>
          <w:tcPr>
            <w:tcW w:type="dxa" w:w="3322"/>
          </w:tcPr>
          <w:p>
            <w:pPr>
              <w:pStyle w:val="null3"/>
            </w:pPr>
            <w:r>
              <w:rPr>
                <w:rFonts w:ascii="仿宋_GB2312" w:hAnsi="仿宋_GB2312" w:cs="仿宋_GB2312" w:eastAsia="仿宋_GB2312"/>
              </w:rPr>
              <w:t>响应文件按磋商文件要求的计量单位、报价货币及签字盖章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响应文件（格式）.docx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响应文件（格式）.docx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标的清单 报价表 响应文件（格式）.docx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供应商提供针对本项目现状和整体认知的理解方案。 1、充分理解本项目服务需求，对项目现状和整体认知的理解，思路清晰明确得9分； 2、理解方案具有针对性，较清晰明确，还有可以优化空间得8分； 3、理解方案内容针对性不强，理解内容较清晰明确，缺乏优化空间得6分； 4、理解方案内容针对性弱，理解内容不完善，缺乏优化空间得4分； 5、方案内容有缺陷、表述前后不一致、套用其他项目方案或与项目需求不匹配等得1分； 6、未提供不得分。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针对本项目详细列明总体方案，内容包括但不限于：①课程设计②录制及拍摄策划③拍摄场地④项目投入设备⑤片头片尾策划⑥添加字幕⑦课件资源交付。 备注：每项内容完整，逻辑清晰、概念准确、体现本项目特点，具有针对性，可实施性的可得4分，满分28分，每有一项内容严重缺陷扣 2分，每有一项内容一般缺陷扣 1分，扣完为止，未提供的计 0 分。 内容严重缺陷是指：内容不合理、方案与实际严重不相符、缺少关键节点内容、与项目需求不匹配、不利于项目实施、套用其他项目方案等任意一种情形； 内容一般缺陷是指：内容较完整合理、方案与项目需求较匹配、不存在关键节点内容缺失、较利于项目实施的等任意一种情形。 注：提供专业拍摄和制作服务基地证明（包括场地名称、具体地址、场地照片。</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课程规划方案</w:t>
            </w:r>
          </w:p>
        </w:tc>
        <w:tc>
          <w:tcPr>
            <w:tcW w:type="dxa" w:w="2492"/>
          </w:tcPr>
          <w:p>
            <w:pPr>
              <w:pStyle w:val="null3"/>
            </w:pPr>
            <w:r>
              <w:rPr>
                <w:rFonts w:ascii="仿宋_GB2312" w:hAnsi="仿宋_GB2312" w:cs="仿宋_GB2312" w:eastAsia="仿宋_GB2312"/>
              </w:rPr>
              <w:t>根据供应商年出版更新的网络课程需超过600课时，响应文件中提供详尽的课程开发规划体系，包含理论教育、党性教育、专业化能力、综合知识、企业管理且体系内容符合干部学习培训的需要。（注：提供2025年度的课程详细开发规划表） 方案内容详实、课程安排合理可行的得12分； 方案内容较详实、课程安排较合理得10分； 方案内容一般详实、课程安排课时基本满足需求的得8分； 方案内容基本详实、课程安排课时无法满足需求的得5分； 方案内容缺失，针对性较差的得2分；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针对本项目技术要求指标具有详细、具体、可行的技术方案，内容包括但不限于：①视频信号源②音频信号源。 二、评审标准 1、完整性：方案必须全面，对评审内容中的各项指标要求有详细描述且无负偏离； 2、适用性：切合本项目实际情况及技术指标中各项要求，提出适用性强且合理的方案； 3、针对性：方案能够紧扣项目实际情况，内容科学合理。 上述2项评审内容每满足一项评审标准得1分，满分6分。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拟投入本项目组织机构合理，具有专业的课程开发团队，人员计划安排非常得当，人员具有类似项目工作经历，得8分； 拟投入本项目组织机构较合理、人员计划安排得当，人员具有类似项目工作经历，得6分；拟投入本项目组织机构基本合理、人员计划安排基本得当，人员具有类似项目工作经历，得4分；拟投入本项目组织机构完备、人力计划安排得当，仅能满足日常需要的得3分； 拟投入本项目组织机构较差、人力计划安排混乱，仅能满足日常需要的得2分；无对应内容响应的本项不得分。 注： 1、工作经历需提供履历表或声明函等证明材料； 2、供应商需对所派人员的从业工作年限、年龄、学历、职业经历等进行详细的描述； 3、未提供不得分。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供应商针对本项目提供良好的售后服务能力，（包括但不限于专人负责对接，及时响应，需要上门解决时，免费升级服务保障等）。服务能力详尽，合理可行，逻辑清楚，针对性及可行性强，得10分； 服务能力较完善，有一定的逻辑性、针对性、可行性，得8分； 服务能力内容基本合理，基本可行得6分； 服务能力内容简单笼统，方案针对性一般得4分； 服务能力内容缺失、方案针对性较差得2分；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①所投的课程资源提供保证说明（说明内容包括但不限于所投课程的版权、授权书，没有瑕疵、能够按期交付采购方验收使用），满足上述要求的得3分；未提供不得分； ②服务商提供授课教师签订的所投课程书面授权书达到30人的得基本分2分，每增加1人加1分，此项满分8分。 如投标人因虚假保证而导致影响本项目的正常运行，投标人承担一切后果。</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提供2021年03月至今类似项目业绩，每份得2分,最高得6分。未提供不得分。（附有业绩合同复印件加盖公章作为证明材料）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