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版本号：ZJXG202506320250716001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《西安市商业网点规划（2025-2035）》编制项目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ZJXG2025063</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《西安市商业网点规划（2025-2035）》编制项目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《西安市商业网点规划（2025-2035）》编制项目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《西安市商业网点规划（2025-2035）》编制项目，具体内容详见竞争性磋商文件。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3、税收缴纳证明：提供2024年6月至今已缴纳的任意1个月的纳税证明或完税证明，依法免税的单位应提供相关证明材料。供应商需在项目电子化交易系统中按要求上传相应证明文件并进行电子签章。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6月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9、企业资质：供应商须具备相关行政主管部门颁发的城乡规划编制乙级及以上资质证书。供应商需在项目电子化交易系统中按要求上传相应证明文件并进行电子签章。</w:t>
      </w:r>
    </w:p>
    <w:p>
      <w:pPr>
        <w:pStyle w:val="null3"/>
      </w:pPr>
      <w:r>
        <w:rPr>
          <w:rFonts w:ascii="仿宋_GB2312" w:hAnsi="仿宋_GB2312" w:cs="仿宋_GB2312" w:eastAsia="仿宋_GB2312"/>
        </w:rPr>
        <w:t>10、项目负责人资质：项目负责人须具有注册城乡规划师证书或具有该专业高级及以上职称。供应商需在项目电子化交易系统中按要求上传相应证明文件并进行电子签章。</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12、联合体：本项目不接受联合体磋商。供应商需在项目电子化交易系统中按要求上传相应证明文件并进行电子签章。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乔昆宇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lt;招标代理服务收费管理暂行办法&gt;的通知》（计价格[2002]1980号）及国家发展和改革委员会（发改办价格[2011]534号）文件规定的收费标准计取，不足3300元按3300元收取。 招标代理服务费可以采取现金或转账方式缴纳。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联系人：白洁</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《西安市商业网点规划（2025-2035）》编制，具体内容详见竞争性磋商文件。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编制《西安市商业网点规划（2025-2035）》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标的名称：编制《西安市商业网点规划（2025-2035）》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0"/>
                <w:b/>
              </w:rPr>
              <w:t>一、项目概况</w:t>
            </w:r>
          </w:p>
          <w:p>
            <w:pPr>
              <w:pStyle w:val="null3"/>
              <w:ind w:firstLine="480"/>
            </w:pPr>
            <w:r>
              <w:rPr>
                <w:rFonts w:ascii="仿宋_GB2312" w:hAnsi="仿宋_GB2312" w:cs="仿宋_GB2312" w:eastAsia="仿宋_GB2312"/>
                <w:sz w:val="20"/>
                <w:b/>
              </w:rPr>
              <w:t>（一）项目背景</w:t>
            </w:r>
          </w:p>
          <w:p>
            <w:pPr>
              <w:pStyle w:val="null3"/>
              <w:ind w:firstLine="480"/>
            </w:pPr>
            <w:r>
              <w:rPr>
                <w:rFonts w:ascii="仿宋_GB2312" w:hAnsi="仿宋_GB2312" w:cs="仿宋_GB2312" w:eastAsia="仿宋_GB2312"/>
                <w:sz w:val="20"/>
              </w:rPr>
              <w:t>为贯彻落实市委市政府工作部署，全面提升城市商业能级与经济活力，助推西安国际消费中心城市建设，进一步落实商业体系建设，实现历史文化底蕴与现代商业创新的协同发展，开展《西安市商业网点规划（</w:t>
            </w:r>
            <w:r>
              <w:rPr>
                <w:rFonts w:ascii="仿宋_GB2312" w:hAnsi="仿宋_GB2312" w:cs="仿宋_GB2312" w:eastAsia="仿宋_GB2312"/>
                <w:sz w:val="20"/>
              </w:rPr>
              <w:t>2025-2035）》工作。</w:t>
            </w:r>
          </w:p>
          <w:p>
            <w:pPr>
              <w:pStyle w:val="null3"/>
              <w:ind w:firstLine="480"/>
            </w:pPr>
            <w:r>
              <w:rPr>
                <w:rFonts w:ascii="仿宋_GB2312" w:hAnsi="仿宋_GB2312" w:cs="仿宋_GB2312" w:eastAsia="仿宋_GB2312"/>
                <w:sz w:val="20"/>
                <w:b/>
              </w:rPr>
              <w:t>（二）项目必要性</w:t>
            </w:r>
          </w:p>
          <w:p>
            <w:pPr>
              <w:pStyle w:val="null3"/>
              <w:ind w:firstLine="480"/>
            </w:pPr>
            <w:r>
              <w:rPr>
                <w:rFonts w:ascii="仿宋_GB2312" w:hAnsi="仿宋_GB2312" w:cs="仿宋_GB2312" w:eastAsia="仿宋_GB2312"/>
                <w:sz w:val="20"/>
              </w:rPr>
              <w:t>商业网点是城市功能完善的重要载体，其科学布局有助于提升城市综合服务功能。编制《西安市商业网点规划（</w:t>
            </w:r>
            <w:r>
              <w:rPr>
                <w:rFonts w:ascii="仿宋_GB2312" w:hAnsi="仿宋_GB2312" w:cs="仿宋_GB2312" w:eastAsia="仿宋_GB2312"/>
                <w:sz w:val="20"/>
              </w:rPr>
              <w:t>2025-2035）》，对于摸清商业网点现状基础、完善商业体系、融合商业网点特色功能、研究商业网点支撑体系、做好与相关规划的衔接等方面，具有重要意义。</w:t>
            </w:r>
          </w:p>
          <w:p>
            <w:pPr>
              <w:pStyle w:val="null3"/>
              <w:ind w:firstLine="480"/>
            </w:pPr>
            <w:r>
              <w:rPr>
                <w:rFonts w:ascii="仿宋_GB2312" w:hAnsi="仿宋_GB2312" w:cs="仿宋_GB2312" w:eastAsia="仿宋_GB2312"/>
                <w:sz w:val="20"/>
                <w:b/>
              </w:rPr>
              <w:t>（三）项目简介</w:t>
            </w:r>
          </w:p>
          <w:p>
            <w:pPr>
              <w:pStyle w:val="null3"/>
              <w:ind w:firstLine="480"/>
            </w:pPr>
            <w:r>
              <w:rPr>
                <w:rFonts w:ascii="仿宋_GB2312" w:hAnsi="仿宋_GB2312" w:cs="仿宋_GB2312" w:eastAsia="仿宋_GB2312"/>
                <w:sz w:val="20"/>
              </w:rPr>
              <w:t>《西安市商业网点规划（</w:t>
            </w:r>
            <w:r>
              <w:rPr>
                <w:rFonts w:ascii="仿宋_GB2312" w:hAnsi="仿宋_GB2312" w:cs="仿宋_GB2312" w:eastAsia="仿宋_GB2312"/>
                <w:sz w:val="20"/>
              </w:rPr>
              <w:t>2025-2035）》是适应新时代经济发展趋势、优化商业布局、提升城市商业功能，推动西安市商业网点的高质量发展的重要谋划。基于商业网点发展现状，分析评估现有商业网点合理性，提出发展目标、发展路径、商圈体系、特色商业聚集区以及相应的支撑体系等内容。</w:t>
            </w:r>
          </w:p>
          <w:p>
            <w:pPr>
              <w:pStyle w:val="null3"/>
              <w:ind w:firstLine="480"/>
            </w:pPr>
            <w:r>
              <w:rPr>
                <w:rFonts w:ascii="仿宋_GB2312" w:hAnsi="仿宋_GB2312" w:cs="仿宋_GB2312" w:eastAsia="仿宋_GB2312"/>
                <w:sz w:val="20"/>
                <w:b/>
              </w:rPr>
              <w:t>二、服务内容</w:t>
            </w:r>
          </w:p>
          <w:p>
            <w:pPr>
              <w:pStyle w:val="null3"/>
              <w:ind w:firstLine="480"/>
            </w:pPr>
            <w:r>
              <w:rPr>
                <w:rFonts w:ascii="仿宋_GB2312" w:hAnsi="仿宋_GB2312" w:cs="仿宋_GB2312" w:eastAsia="仿宋_GB2312"/>
                <w:sz w:val="20"/>
              </w:rPr>
              <w:t>1.深入研究西安城市商业网点发展现状。通过大数据分析、实地调研等方式，收集整理全市大型商业网点、批发市场、商业街、道路交通条件等相关信息，包括位置、面积、服务半径、配套设施等。研究分析西安城市商业网点供需现状，并进行预测分析。</w:t>
            </w:r>
          </w:p>
          <w:p>
            <w:pPr>
              <w:pStyle w:val="null3"/>
              <w:ind w:firstLine="480"/>
            </w:pPr>
            <w:r>
              <w:rPr>
                <w:rFonts w:ascii="仿宋_GB2312" w:hAnsi="仿宋_GB2312" w:cs="仿宋_GB2312" w:eastAsia="仿宋_GB2312"/>
                <w:sz w:val="20"/>
              </w:rPr>
              <w:t>2.开展西安城市商业网点现状评估。对标先进城市商业网点发展经验，评估差距与优劣势。依据行业标准与规范，结合行业趋势，分析周边环境，对各类商业网点进行综合评估分析，找出存在的问题和短板。</w:t>
            </w:r>
          </w:p>
          <w:p>
            <w:pPr>
              <w:pStyle w:val="null3"/>
              <w:ind w:firstLine="480"/>
            </w:pPr>
            <w:r>
              <w:rPr>
                <w:rFonts w:ascii="仿宋_GB2312" w:hAnsi="仿宋_GB2312" w:cs="仿宋_GB2312" w:eastAsia="仿宋_GB2312"/>
                <w:sz w:val="20"/>
              </w:rPr>
              <w:t>3.编制西安市商业网点规划。依据《西安市国土空间总体规划（2021-2035年）》及各区域的控规详规要求，结合供需情况、人口集中度、消费水平等，分析判断现有大型商业网点、批发市场、商业街等所处位置是否合规合理。提出发展目标、发展路径、商圈体系、特色商业聚集区以及相应的支撑体系等内容，形成西安市商业网点规划。</w:t>
            </w:r>
          </w:p>
          <w:p>
            <w:pPr>
              <w:pStyle w:val="null3"/>
              <w:ind w:firstLine="480"/>
            </w:pPr>
            <w:r>
              <w:rPr>
                <w:rFonts w:ascii="仿宋_GB2312" w:hAnsi="仿宋_GB2312" w:cs="仿宋_GB2312" w:eastAsia="仿宋_GB2312"/>
                <w:sz w:val="20"/>
                <w:b/>
              </w:rPr>
              <w:t>三、服务要求</w:t>
            </w:r>
          </w:p>
          <w:p>
            <w:pPr>
              <w:pStyle w:val="null3"/>
              <w:ind w:firstLine="480"/>
            </w:pPr>
            <w:r>
              <w:rPr>
                <w:rFonts w:ascii="仿宋_GB2312" w:hAnsi="仿宋_GB2312" w:cs="仿宋_GB2312" w:eastAsia="仿宋_GB2312"/>
                <w:sz w:val="20"/>
              </w:rPr>
              <w:t>1.摸底调研工作做到全面准确，包括西安人口消费特征、相关经济指标比对、现状交通与相关市政设施、商业网点业态结构、历史文化资源以及现有政策梳理。</w:t>
            </w:r>
          </w:p>
          <w:p>
            <w:pPr>
              <w:pStyle w:val="null3"/>
              <w:ind w:firstLine="480"/>
            </w:pPr>
            <w:r>
              <w:rPr>
                <w:rFonts w:ascii="仿宋_GB2312" w:hAnsi="仿宋_GB2312" w:cs="仿宋_GB2312" w:eastAsia="仿宋_GB2312"/>
                <w:sz w:val="20"/>
              </w:rPr>
              <w:t>2.发展目标明确清晰，发展路径科学可行，商圈体系框架完整，各级商圈重点明确，商业聚集区特色鲜明，支撑体系坚实有力。</w:t>
            </w:r>
          </w:p>
          <w:p>
            <w:pPr>
              <w:pStyle w:val="null3"/>
              <w:ind w:firstLine="480"/>
            </w:pPr>
            <w:r>
              <w:rPr>
                <w:rFonts w:ascii="仿宋_GB2312" w:hAnsi="仿宋_GB2312" w:cs="仿宋_GB2312" w:eastAsia="仿宋_GB2312"/>
                <w:sz w:val="20"/>
              </w:rPr>
              <w:t>3.做好本规划与《促进商圈商业街区高质量发展工作指引（2024-2026）》《西安市国土空间总体规划（2021-2035年）》《西安市现代流通战略支点城市建设方案》等政策文件的衔接。</w:t>
            </w:r>
          </w:p>
          <w:p>
            <w:pPr>
              <w:pStyle w:val="null3"/>
              <w:ind w:firstLine="480"/>
            </w:pPr>
            <w:r>
              <w:rPr>
                <w:rFonts w:ascii="仿宋_GB2312" w:hAnsi="仿宋_GB2312" w:cs="仿宋_GB2312" w:eastAsia="仿宋_GB2312"/>
                <w:sz w:val="20"/>
              </w:rPr>
              <w:t>4.在市商务局规定的时间内，保时保质完成规划编制。</w:t>
            </w:r>
          </w:p>
          <w:p>
            <w:pPr>
              <w:pStyle w:val="null3"/>
              <w:ind w:firstLine="480"/>
            </w:pPr>
            <w:r>
              <w:rPr>
                <w:rFonts w:ascii="仿宋_GB2312" w:hAnsi="仿宋_GB2312" w:cs="仿宋_GB2312" w:eastAsia="仿宋_GB2312"/>
                <w:sz w:val="20"/>
                <w:b/>
              </w:rPr>
              <w:t>四、商务要求</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服务</w:t>
            </w:r>
            <w:r>
              <w:rPr>
                <w:rFonts w:ascii="仿宋_GB2312" w:hAnsi="仿宋_GB2312" w:cs="仿宋_GB2312" w:eastAsia="仿宋_GB2312"/>
                <w:sz w:val="20"/>
              </w:rPr>
              <w:t>期限：</w:t>
            </w:r>
            <w:r>
              <w:rPr>
                <w:rFonts w:ascii="仿宋_GB2312" w:hAnsi="仿宋_GB2312" w:cs="仿宋_GB2312" w:eastAsia="仿宋_GB2312"/>
                <w:sz w:val="20"/>
              </w:rPr>
              <w:t>2025年10月31日前递交规划终稿。</w:t>
            </w:r>
          </w:p>
          <w:p>
            <w:pPr>
              <w:pStyle w:val="null3"/>
              <w:ind w:firstLine="480"/>
            </w:pPr>
            <w:r>
              <w:rPr>
                <w:rFonts w:ascii="仿宋_GB2312" w:hAnsi="仿宋_GB2312" w:cs="仿宋_GB2312" w:eastAsia="仿宋_GB2312"/>
                <w:sz w:val="20"/>
              </w:rPr>
              <w:t>2.款项结算：合同签订后，供应商向采购方开具等额的增值税普通发票，采购方收到合规的发票，达到付款条件后</w:t>
            </w:r>
            <w:r>
              <w:rPr>
                <w:rFonts w:ascii="仿宋_GB2312" w:hAnsi="仿宋_GB2312" w:cs="仿宋_GB2312" w:eastAsia="仿宋_GB2312"/>
                <w:sz w:val="20"/>
              </w:rPr>
              <w:t>15</w:t>
            </w:r>
            <w:r>
              <w:rPr>
                <w:rFonts w:ascii="仿宋_GB2312" w:hAnsi="仿宋_GB2312" w:cs="仿宋_GB2312" w:eastAsia="仿宋_GB2312"/>
                <w:sz w:val="20"/>
              </w:rPr>
              <w:t>日内向乙方支付合同金额的</w:t>
            </w:r>
            <w:r>
              <w:rPr>
                <w:rFonts w:ascii="仿宋_GB2312" w:hAnsi="仿宋_GB2312" w:cs="仿宋_GB2312" w:eastAsia="仿宋_GB2312"/>
                <w:sz w:val="20"/>
              </w:rPr>
              <w:t>50%项目资金，剩余50%，供应商项目执行结束经验收合格后，向采购方开具等额的增值税普通发票。采购方收到合规的发票，达到付款条件后</w:t>
            </w:r>
            <w:r>
              <w:rPr>
                <w:rFonts w:ascii="仿宋_GB2312" w:hAnsi="仿宋_GB2312" w:cs="仿宋_GB2312" w:eastAsia="仿宋_GB2312"/>
                <w:sz w:val="20"/>
              </w:rPr>
              <w:t>15</w:t>
            </w:r>
            <w:r>
              <w:rPr>
                <w:rFonts w:ascii="仿宋_GB2312" w:hAnsi="仿宋_GB2312" w:cs="仿宋_GB2312" w:eastAsia="仿宋_GB2312"/>
                <w:sz w:val="20"/>
              </w:rPr>
              <w:t>日内付清尾款。</w:t>
            </w:r>
          </w:p>
          <w:p>
            <w:pPr>
              <w:pStyle w:val="null3"/>
              <w:ind w:firstLine="480"/>
            </w:pPr>
            <w:r>
              <w:rPr>
                <w:rFonts w:ascii="仿宋_GB2312" w:hAnsi="仿宋_GB2312" w:cs="仿宋_GB2312" w:eastAsia="仿宋_GB2312"/>
                <w:sz w:val="20"/>
              </w:rPr>
              <w:t>3.成果交付要求</w:t>
            </w:r>
          </w:p>
          <w:p>
            <w:pPr>
              <w:pStyle w:val="null3"/>
              <w:ind w:firstLine="480"/>
            </w:pPr>
            <w:r>
              <w:rPr>
                <w:rFonts w:ascii="仿宋_GB2312" w:hAnsi="仿宋_GB2312" w:cs="仿宋_GB2312" w:eastAsia="仿宋_GB2312"/>
                <w:sz w:val="20"/>
              </w:rPr>
              <w:t>成果包括但不限于规划文本、现状图表与规划建设图表等，并达到采购人对项目的具体要求。</w:t>
            </w:r>
          </w:p>
          <w:p>
            <w:pPr>
              <w:pStyle w:val="null3"/>
              <w:ind w:firstLine="480"/>
            </w:pPr>
            <w:r>
              <w:rPr>
                <w:rFonts w:ascii="仿宋_GB2312" w:hAnsi="仿宋_GB2312" w:cs="仿宋_GB2312" w:eastAsia="仿宋_GB2312"/>
                <w:sz w:val="20"/>
                <w:b/>
              </w:rPr>
              <w:t>五、其他</w:t>
            </w:r>
          </w:p>
          <w:p>
            <w:pPr>
              <w:pStyle w:val="null3"/>
              <w:ind w:firstLine="480"/>
            </w:pPr>
            <w:r>
              <w:rPr>
                <w:rFonts w:ascii="仿宋_GB2312" w:hAnsi="仿宋_GB2312" w:cs="仿宋_GB2312" w:eastAsia="仿宋_GB2312"/>
                <w:sz w:val="20"/>
                <w:b/>
              </w:rPr>
              <w:t>（一）成果交付要求</w:t>
            </w:r>
          </w:p>
          <w:p>
            <w:pPr>
              <w:pStyle w:val="null3"/>
              <w:ind w:firstLine="480"/>
            </w:pPr>
            <w:r>
              <w:rPr>
                <w:rFonts w:ascii="仿宋_GB2312" w:hAnsi="仿宋_GB2312" w:cs="仿宋_GB2312" w:eastAsia="仿宋_GB2312"/>
                <w:sz w:val="20"/>
              </w:rPr>
              <w:t>需达到采购人对项目的具体要求。</w:t>
            </w:r>
          </w:p>
          <w:p>
            <w:pPr>
              <w:pStyle w:val="null3"/>
              <w:ind w:firstLine="480"/>
            </w:pPr>
            <w:r>
              <w:rPr>
                <w:rFonts w:ascii="仿宋_GB2312" w:hAnsi="仿宋_GB2312" w:cs="仿宋_GB2312" w:eastAsia="仿宋_GB2312"/>
                <w:sz w:val="20"/>
                <w:b/>
              </w:rPr>
              <w:t>（二）质量验收标准或规范</w:t>
            </w:r>
          </w:p>
          <w:p>
            <w:pPr>
              <w:pStyle w:val="null3"/>
              <w:ind w:firstLine="480"/>
            </w:pPr>
            <w:r>
              <w:rPr>
                <w:rFonts w:ascii="仿宋_GB2312" w:hAnsi="仿宋_GB2312" w:cs="仿宋_GB2312" w:eastAsia="仿宋_GB2312"/>
                <w:sz w:val="20"/>
              </w:rPr>
              <w:t>1、服务期满后按照成交供应商所提供的资料及数据进行验收；</w:t>
            </w:r>
          </w:p>
          <w:p>
            <w:pPr>
              <w:pStyle w:val="null3"/>
              <w:ind w:firstLine="480"/>
            </w:pPr>
            <w:r>
              <w:rPr>
                <w:rFonts w:ascii="仿宋_GB2312" w:hAnsi="仿宋_GB2312" w:cs="仿宋_GB2312" w:eastAsia="仿宋_GB2312"/>
                <w:sz w:val="20"/>
              </w:rPr>
              <w:t>2、最终验收：自合同签订之日起至完成全部项目内容，需按照采购人确定的时间完成交付并验收合格，验收合格后，填写验收单。</w:t>
            </w:r>
          </w:p>
          <w:p>
            <w:pPr>
              <w:pStyle w:val="null3"/>
              <w:ind w:firstLine="480"/>
            </w:pPr>
            <w:r>
              <w:rPr>
                <w:rFonts w:ascii="仿宋_GB2312" w:hAnsi="仿宋_GB2312" w:cs="仿宋_GB2312" w:eastAsia="仿宋_GB2312"/>
                <w:sz w:val="20"/>
              </w:rPr>
              <w:t>3、验收和评价方式</w:t>
            </w:r>
          </w:p>
          <w:p>
            <w:pPr>
              <w:pStyle w:val="null3"/>
              <w:ind w:firstLine="480"/>
            </w:pPr>
            <w:r>
              <w:rPr>
                <w:rFonts w:ascii="仿宋_GB2312" w:hAnsi="仿宋_GB2312" w:cs="仿宋_GB2312" w:eastAsia="仿宋_GB2312"/>
                <w:sz w:val="20"/>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480"/>
            </w:pPr>
            <w:r>
              <w:rPr>
                <w:rFonts w:ascii="仿宋_GB2312" w:hAnsi="仿宋_GB2312" w:cs="仿宋_GB2312" w:eastAsia="仿宋_GB2312"/>
                <w:sz w:val="20"/>
              </w:rPr>
              <w:t>3.2  若发现乙方有弄虚作假的，及在项目实施阶段故意或随意夸大服务，本项目合同解除，乙方赔偿甲方相应的损失。</w:t>
            </w:r>
          </w:p>
          <w:p>
            <w:pPr>
              <w:pStyle w:val="null3"/>
              <w:ind w:firstLine="480"/>
            </w:pPr>
            <w:r>
              <w:rPr>
                <w:rFonts w:ascii="仿宋_GB2312" w:hAnsi="仿宋_GB2312" w:cs="仿宋_GB2312" w:eastAsia="仿宋_GB2312"/>
                <w:sz w:val="20"/>
              </w:rPr>
              <w:t>3.3  验收标准：按磋商文件、磋商响应文件等服务指标进行逐项验收，各项指标均应符合验收标准及要求。</w:t>
            </w:r>
          </w:p>
          <w:p>
            <w:pPr>
              <w:pStyle w:val="null3"/>
              <w:ind w:firstLine="480"/>
            </w:pPr>
            <w:r>
              <w:rPr>
                <w:rFonts w:ascii="仿宋_GB2312" w:hAnsi="仿宋_GB2312" w:cs="仿宋_GB2312" w:eastAsia="仿宋_GB2312"/>
                <w:sz w:val="20"/>
              </w:rPr>
              <w:t>3.4  验收合格后，填写验收单，双方盖章、签字生效。</w:t>
            </w:r>
          </w:p>
          <w:p>
            <w:pPr>
              <w:pStyle w:val="null3"/>
              <w:ind w:firstLine="480"/>
            </w:pPr>
            <w:r>
              <w:rPr>
                <w:rFonts w:ascii="仿宋_GB2312" w:hAnsi="仿宋_GB2312" w:cs="仿宋_GB2312" w:eastAsia="仿宋_GB2312"/>
                <w:sz w:val="20"/>
              </w:rPr>
              <w:t>3.5  验收依据</w:t>
            </w:r>
          </w:p>
          <w:p>
            <w:pPr>
              <w:pStyle w:val="null3"/>
              <w:ind w:firstLine="480"/>
            </w:pPr>
            <w:r>
              <w:rPr>
                <w:rFonts w:ascii="仿宋_GB2312" w:hAnsi="仿宋_GB2312" w:cs="仿宋_GB2312" w:eastAsia="仿宋_GB2312"/>
                <w:sz w:val="20"/>
              </w:rPr>
              <w:t>3.5.1  合同文本。</w:t>
            </w:r>
          </w:p>
          <w:p>
            <w:pPr>
              <w:pStyle w:val="null3"/>
              <w:ind w:firstLine="480"/>
            </w:pPr>
            <w:r>
              <w:rPr>
                <w:rFonts w:ascii="仿宋_GB2312" w:hAnsi="仿宋_GB2312" w:cs="仿宋_GB2312" w:eastAsia="仿宋_GB2312"/>
                <w:sz w:val="20"/>
              </w:rPr>
              <w:t>3.5.2  磋商响应文件、磋商文件、澄清函。</w:t>
            </w:r>
          </w:p>
          <w:p>
            <w:pPr>
              <w:pStyle w:val="null3"/>
              <w:ind w:firstLine="480"/>
            </w:pPr>
            <w:r>
              <w:rPr>
                <w:rFonts w:ascii="仿宋_GB2312" w:hAnsi="仿宋_GB2312" w:cs="仿宋_GB2312" w:eastAsia="仿宋_GB2312"/>
                <w:sz w:val="20"/>
              </w:rPr>
              <w:t>3.5.3  国家和行业制定的相应的标准和规范。</w:t>
            </w:r>
          </w:p>
          <w:p>
            <w:pPr>
              <w:pStyle w:val="null3"/>
              <w:ind w:firstLine="480"/>
            </w:pPr>
            <w:r>
              <w:rPr>
                <w:rFonts w:ascii="仿宋_GB2312" w:hAnsi="仿宋_GB2312" w:cs="仿宋_GB2312" w:eastAsia="仿宋_GB2312"/>
                <w:sz w:val="20"/>
                <w:b/>
              </w:rPr>
              <w:t>（三）违约责任</w:t>
            </w:r>
          </w:p>
          <w:p>
            <w:pPr>
              <w:pStyle w:val="null3"/>
              <w:ind w:firstLine="480"/>
            </w:pPr>
            <w:r>
              <w:rPr>
                <w:rFonts w:ascii="仿宋_GB2312" w:hAnsi="仿宋_GB2312" w:cs="仿宋_GB2312" w:eastAsia="仿宋_GB2312"/>
                <w:sz w:val="20"/>
              </w:rPr>
              <w:t>1、按《民法典》中的相关条款执行。</w:t>
            </w:r>
          </w:p>
          <w:p>
            <w:pPr>
              <w:pStyle w:val="null3"/>
              <w:ind w:firstLine="480"/>
            </w:pPr>
            <w:r>
              <w:rPr>
                <w:rFonts w:ascii="仿宋_GB2312" w:hAnsi="仿宋_GB2312" w:cs="仿宋_GB2312" w:eastAsia="仿宋_GB2312"/>
                <w:sz w:val="20"/>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480"/>
            </w:pPr>
            <w:r>
              <w:rPr>
                <w:rFonts w:ascii="仿宋_GB2312" w:hAnsi="仿宋_GB2312" w:cs="仿宋_GB2312" w:eastAsia="仿宋_GB2312"/>
                <w:sz w:val="20"/>
              </w:rPr>
              <w:t>3、如有异议另行协商。</w:t>
            </w:r>
          </w:p>
          <w:p>
            <w:pPr>
              <w:pStyle w:val="null3"/>
              <w:ind w:firstLine="480"/>
            </w:pPr>
            <w:r>
              <w:rPr>
                <w:rFonts w:ascii="仿宋_GB2312" w:hAnsi="仿宋_GB2312" w:cs="仿宋_GB2312" w:eastAsia="仿宋_GB2312"/>
                <w:sz w:val="20"/>
                <w:b/>
              </w:rPr>
              <w:t>六</w:t>
            </w:r>
            <w:r>
              <w:rPr>
                <w:rFonts w:ascii="仿宋_GB2312" w:hAnsi="仿宋_GB2312" w:cs="仿宋_GB2312" w:eastAsia="仿宋_GB2312"/>
                <w:sz w:val="20"/>
                <w:b/>
              </w:rPr>
              <w:t>、服务范围：本项目包含的所有服务。</w:t>
            </w:r>
          </w:p>
          <w:p>
            <w:pPr>
              <w:pStyle w:val="null3"/>
              <w:jc w:val="both"/>
            </w:pPr>
            <w:r>
              <w:rPr>
                <w:rFonts w:ascii="仿宋_GB2312" w:hAnsi="仿宋_GB2312" w:cs="仿宋_GB2312" w:eastAsia="仿宋_GB2312"/>
                <w:sz w:val="20"/>
                <w:b/>
              </w:rPr>
              <w:t xml:space="preserve">     七</w:t>
            </w:r>
            <w:r>
              <w:rPr>
                <w:rFonts w:ascii="仿宋_GB2312" w:hAnsi="仿宋_GB2312" w:cs="仿宋_GB2312" w:eastAsia="仿宋_GB2312"/>
                <w:sz w:val="20"/>
                <w:b/>
              </w:rPr>
              <w:t>、服务标准：符合国家或行业标准。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2025年10月31日前递交规划终稿。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1、验收和评价方式 1.1 乙方提供的服务最终验收达不到磋商文件要求和磋商响应文件承诺及国家或行业标准，或在使用中发现甲方不能容忍的缺陷等，将视为验收不合格，乙方应在甲方要求的时间内无条件完善或要求赔付采购人损失。 1.2 若发现乙方有弄虚作假的，及在项目实施阶段故意或随意夸大服务，本项目合同解除，乙方赔偿甲方相应的损失。 1.3 验收标准：按磋商文件、磋商响应文件等服务指标进行逐项验收，各项指标均应符合验收标准及要求。 1.4 验收合格后，填写验收单，双方盖章、签字生效。 1.5 验收依据 1.5.1 合同文本。 15.2 磋商响应文件、磋商文件、澄清函。 1.5.3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合同签订后，供应商向采购方开具等额的增值税普通发票，采购方收到合规的发票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提供2024年6月至今已缴纳的任意1个月的纳税证明或完税证明，依法免税的单位应提供相关证明材料。供应商需在项目电子化交易系统中按要求上传相应证明文件并进行电子签章。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供应商须具备相关行政主管部门颁发的城乡规划编制乙级及以上资质证书。供应商需在项目电子化交易系统中按要求上传相应证明文件并进行电子签章。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项目负责人须具有注册城乡规划师证书或具有该专业高级及以上职称。供应商需在项目电子化交易系统中按要求上传相应证明文件并进行电子签章。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对项目基础了解</w:t>
            </w:r>
          </w:p>
        </w:tc>
        <w:tc>
          <w:tcPr>
            <w:tcW w:type="dxa" w:w="2492"/>
          </w:tcPr>
          <w:p>
            <w:pPr>
              <w:pStyle w:val="null3"/>
            </w:pPr>
            <w:r>
              <w:rPr>
                <w:rFonts w:ascii="仿宋_GB2312" w:hAnsi="仿宋_GB2312" w:cs="仿宋_GB2312" w:eastAsia="仿宋_GB2312"/>
              </w:rPr>
              <w:t>内容包括 ①项目背景分析；②项目现状；③项目现有商业网点合理性分析。内容全面、合理计11.1-15.0分； 内容基本全面，基本合理，不缺项，计7.1-11.0分； 内容有缺项，完整度差，计3.1-7.0分；内容简略的，计1.0-3.0分；未提供本项不得分。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服务方案内容包括①深入研究西安城市商业网点发展现状；②开展西安城市商业网点现状评估；③编制西安市商业网点规划。 通过大数据分析、实地调研等方式，研究分析西安城市商业网点供需现状，并进行预测分析。对标先进城市商业网点发展经验，评估差距与优劣势。结合供需情况、人口集中度、消费水平等，提出发展目标、发展路径、商圈体系、特色商业聚集区以及相应的支撑体系等内容。方案科学合理、切实可行，不缺项且有针对性解释说明得11.1-15.0分； 方案比较合理、有一定的可行性，不缺项且有针对性解释说明得7.1-11.0分； 方案比较合理、有一定的可行性，有针对性解释说明但缺项1项得5.1-7.0分； 方案基本合理、具有可操作性，存在不确定因素，有针对性解释说明但缺项2项得3.1-5.0分； 方案不够合理、可操作性不强，缺项3项得0-3.0分；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1）供应商制定了详细的项目进度计划，明确各阶段的时间节点和工作任务，得3.0-5.0分；进度计划较详细，得1.0-3.0分；进度计划不详细，得0-1.0分。（2）针对可能影响项目进度的因素制定了有效的应对措施，措施合理、可行，得3.0-5.0分；应对措施较合理，得1.0-3.0分；应对措施不合理，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派项目团队人员具有高级或以上职称的，每提供一人得2分，具有中级职称的每提供一人得1分，最高得6分（注：提供证书复印件或扫描件，不提供不得分。同一人有多个职称证的以最高职称计分，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质量保证措施内容包括①质量目标；②质量保障措施；③成果文件质量控制措施；④进度保障措施。措施全面、具体、可行、科学合理，得8.1-10分； 保障措施比较全面、具体、可行、科学合理，得5.1-8.0分； 保障措施简单，有一定的合理性得2.1-5.0分； 保障措施存在较多缺漏，合理性较差，得0-2.0分；未提供不得分。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针对本项目提出的难点、重点进行分析并提出解决措施。重点和难点分析全面，合理，并且提出切实可行的解决办法的，得7.1-10.0分； 重点和难点分析全面，合理，对于重难点的解决办法较为合理可行的，得4.1-7.0分； 重点和难点分析基本全面，基本合理，对于重难点的解决办法基本可行的，得2.1-4.0分； 重点和难点分析不全面，不合理，对于重难点的解决办法不可行的，得0-2.0分；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提供供应商2022年1月至响应文件递交截止日类似项目业绩（以合同复印件为准），每提供一份业绩得2分，最高得10分。未提供不得分。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措施内容科学具体，针对性强，得3.0-5.0分； 措施内容不够具体，得1.0-3.0分；未提供不得分。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建议全面且从多个角度考虑，合理可行且对项目实施具有较强的指导作用的得2.0-4.0分； 建议基本全面但实施有难度的，得1.0-2.0分；未提供不得分。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承诺全面且从多个角度明确地做出承诺，合理可行且完全能满足采购人对项目需求的，得3.1-5.0分； 承诺基本全面但实施有难度的，得1.0-3.0分；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