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版本号：SXZHZB2025-ZC024-CS20250714001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2025秦岭沿山区县农家乐监控运营维护项目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SXZHZB2025-ZC024-CS</w:t>
      </w:r>
      <w:r>
        <w:br/>
      </w:r>
      <w:r>
        <w:br/>
      </w:r>
      <w:r>
        <w:br/>
      </w:r>
    </w:p>
    <w:p>
      <w:pPr>
        <w:pStyle w:val="null3"/>
        <w:jc w:val="center"/>
        <w:outlineLvl w:val="2"/>
      </w:pPr>
      <w:r>
        <w:rPr>
          <w:rFonts w:ascii="仿宋_GB2312" w:hAnsi="仿宋_GB2312" w:cs="仿宋_GB2312" w:eastAsia="仿宋_GB2312"/>
          <w:sz w:val="28"/>
          <w:b/>
        </w:rPr>
        <w:t>西安市文化和旅游局（本级）</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西安市文化和旅游局（本级）</w:t>
      </w:r>
      <w:r>
        <w:rPr>
          <w:rFonts w:ascii="仿宋_GB2312" w:hAnsi="仿宋_GB2312" w:cs="仿宋_GB2312" w:eastAsia="仿宋_GB2312"/>
        </w:rPr>
        <w:t>委托，拟对</w:t>
      </w:r>
      <w:r>
        <w:rPr>
          <w:rFonts w:ascii="仿宋_GB2312" w:hAnsi="仿宋_GB2312" w:cs="仿宋_GB2312" w:eastAsia="仿宋_GB2312"/>
        </w:rPr>
        <w:t>2025秦岭沿山区县农家乐监控运营维护项目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SXZHZB2025-ZC024-CS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2025秦岭沿山区县农家乐监控运营维护项目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由西安市文旅局于2024年完成建设的秦岭沿山区县农家乐防汛监控项目，已全面进入2025年度运维阶段，全面加强防汛减灾各项工作。本次项目构建了“技防+人防”相结合的防汛体系，有效弥补山区监测盲区，提升防灾减灾智能化水平，对保障人民群众生命财产安全和旅游业可持续发展具有重要作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2、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西安市文化和旅游局（本级）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琚老师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029-86788613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采购包1：558,700.00元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代理服务费收费标准：1、代理服务费：以成交金额为基数，参照国家计委颁发的《招标代理服务收费管理暂行办法》（计价格〔2002〕1980号）和财政部颁发的《政府采购代理机构管理暂行办法》 (财库〔2018〕2号) 的有关规定执行，不足8000元，按8000元计取。 2、代理服务费由成交供应商支付，在领取《成交通知书》前，由成交供应商一次性支付给陕西纵横项目管理有限公司。 3、代理服务费缴纳账户： 开户名称：陕西纵横项目管理有限公司 开户银行：浙商银行股份有限公司西安未央路支行 账号：7910000610120100029478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西安市文化和旅游局（本级）</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西安市文化和旅游局（本级）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西安市文化和旅游局（本级）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陕西纵横项目管理有限公司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联系电话：029-86252018（转804）</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由西安市文旅局于2024年完成建设的秦岭沿山区县农家乐防汛监控项目，已全面进入2025年度运维阶段，全面加强防汛减灾各项工作。本次项目构建了“技防+人防”相结合的防汛体系，有效弥补山区监测盲区，提升防灾减灾智能化水平，对保障人民群众生命财产安全和旅游业可持续发展具有重要作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558,700.00</w:t>
      </w:r>
    </w:p>
    <w:p>
      <w:pPr>
        <w:pStyle w:val="null3"/>
      </w:pPr>
      <w:r>
        <w:rPr>
          <w:rFonts w:ascii="仿宋_GB2312" w:hAnsi="仿宋_GB2312" w:cs="仿宋_GB2312" w:eastAsia="仿宋_GB2312"/>
        </w:rPr>
        <w:t>采购包最高限价（元）: 558,700.00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 秦岭沿山区县农家乐监控运营维护项目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558,700.00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 秦岭沿山区县农家乐监控运营维护项目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服务内容</w:t>
            </w:r>
          </w:p>
          <w:p>
            <w:pPr>
              <w:pStyle w:val="null3"/>
            </w:pPr>
            <w:r>
              <w:rPr>
                <w:rFonts w:ascii="仿宋_GB2312" w:hAnsi="仿宋_GB2312" w:cs="仿宋_GB2312" w:eastAsia="仿宋_GB2312"/>
              </w:rPr>
              <w:t>（1）负责面向农户及个体经营户支付秦岭沿山区县农家乐监控项目2025年汛期期间前端点位设备工作所产生的电费费用。</w:t>
            </w:r>
          </w:p>
          <w:p>
            <w:pPr>
              <w:pStyle w:val="null3"/>
            </w:pPr>
            <w:r>
              <w:rPr>
                <w:rFonts w:ascii="仿宋_GB2312" w:hAnsi="仿宋_GB2312" w:cs="仿宋_GB2312" w:eastAsia="仿宋_GB2312"/>
              </w:rPr>
              <w:t>（2）负责提供项目约定时期内监控前端点位工作所需要的网络资源或线路资源,用于监控点入网传输。</w:t>
            </w:r>
          </w:p>
          <w:p>
            <w:pPr>
              <w:pStyle w:val="null3"/>
            </w:pPr>
            <w:r>
              <w:rPr>
                <w:rFonts w:ascii="仿宋_GB2312" w:hAnsi="仿宋_GB2312" w:cs="仿宋_GB2312" w:eastAsia="仿宋_GB2312"/>
              </w:rPr>
              <w:t>（3）负责项目约定时期内监控前端点位视频图像的接入、汇聚和管理工作并提供监控视频资源存储。</w:t>
            </w:r>
          </w:p>
          <w:p>
            <w:pPr>
              <w:pStyle w:val="null3"/>
            </w:pPr>
            <w:r>
              <w:rPr>
                <w:rFonts w:ascii="仿宋_GB2312" w:hAnsi="仿宋_GB2312" w:cs="仿宋_GB2312" w:eastAsia="仿宋_GB2312"/>
              </w:rPr>
              <w:t>（4）负责项目约定时期内监控前端点位的日常运营维护工作。</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 xml:space="preserve">服务要求 </w:t>
            </w:r>
          </w:p>
          <w:p>
            <w:pPr>
              <w:pStyle w:val="null3"/>
            </w:pPr>
            <w:r>
              <w:rPr>
                <w:rFonts w:ascii="仿宋_GB2312" w:hAnsi="仿宋_GB2312" w:cs="仿宋_GB2312" w:eastAsia="仿宋_GB2312"/>
              </w:rPr>
              <w:t>（1）网络服务要求</w:t>
            </w:r>
          </w:p>
          <w:p>
            <w:pPr>
              <w:pStyle w:val="null3"/>
            </w:pPr>
            <w:r>
              <w:rPr>
                <w:rFonts w:ascii="仿宋_GB2312" w:hAnsi="仿宋_GB2312" w:cs="仿宋_GB2312" w:eastAsia="仿宋_GB2312"/>
              </w:rPr>
              <w:t>每点位一条不低于10M的视联网专用宽带，用于监控点入网传输，可支持两路画面上传。</w:t>
            </w:r>
          </w:p>
          <w:p>
            <w:pPr>
              <w:pStyle w:val="null3"/>
            </w:pPr>
            <w:r>
              <w:rPr>
                <w:rFonts w:ascii="仿宋_GB2312" w:hAnsi="仿宋_GB2312" w:cs="仿宋_GB2312" w:eastAsia="仿宋_GB2312"/>
              </w:rPr>
              <w:t>（2）平台应用要求</w:t>
            </w:r>
          </w:p>
          <w:p>
            <w:pPr>
              <w:pStyle w:val="null3"/>
            </w:pPr>
            <w:r>
              <w:rPr>
                <w:rFonts w:ascii="仿宋_GB2312" w:hAnsi="仿宋_GB2312" w:cs="仿宋_GB2312" w:eastAsia="仿宋_GB2312"/>
              </w:rPr>
              <w:t>视频平台负责前端视频监控图像的接入、汇聚和管理工作；基础功能需要包含：设备信息状态总数来源目录绑定用户经纬度、设备重启、目录树设备列表、设备能力应用标签、订阅设备消息解除订阅告警消息列表、直播视频流地址、云回看文件/目录/下载/流化地址；</w:t>
            </w:r>
          </w:p>
          <w:p>
            <w:pPr>
              <w:pStyle w:val="null3"/>
            </w:pPr>
            <w:r>
              <w:rPr>
                <w:rFonts w:ascii="仿宋_GB2312" w:hAnsi="仿宋_GB2312" w:cs="仿宋_GB2312" w:eastAsia="仿宋_GB2312"/>
              </w:rPr>
              <w:t>具备语音喊话功能，可通过获取语音汇聚网关地址、语音设备操作实现一对一设备侧的喊话能力；</w:t>
            </w:r>
          </w:p>
          <w:p>
            <w:pPr>
              <w:pStyle w:val="null3"/>
            </w:pPr>
            <w:r>
              <w:rPr>
                <w:rFonts w:ascii="仿宋_GB2312" w:hAnsi="仿宋_GB2312" w:cs="仿宋_GB2312" w:eastAsia="仿宋_GB2312"/>
              </w:rPr>
              <w:t>具备与其它平台打通对接能力，可以按需求推送视频流至指定平台。</w:t>
            </w:r>
          </w:p>
          <w:p>
            <w:pPr>
              <w:pStyle w:val="null3"/>
            </w:pPr>
            <w:r>
              <w:rPr>
                <w:rFonts w:ascii="仿宋_GB2312" w:hAnsi="仿宋_GB2312" w:cs="仿宋_GB2312" w:eastAsia="仿宋_GB2312"/>
              </w:rPr>
              <w:t>（3）视频云存储要求</w:t>
            </w:r>
          </w:p>
          <w:p>
            <w:pPr>
              <w:pStyle w:val="null3"/>
            </w:pPr>
            <w:r>
              <w:rPr>
                <w:rFonts w:ascii="仿宋_GB2312" w:hAnsi="仿宋_GB2312" w:cs="仿宋_GB2312" w:eastAsia="仿宋_GB2312"/>
              </w:rPr>
              <w:t>提供7天的云存储功能，支持指挥中心和手机与前端可视对讲，应用端提供视频直播监控、7天存储回看调度，支持视频巡检、轮巡功能，随时随地远程监督。</w:t>
            </w:r>
          </w:p>
          <w:p>
            <w:pPr>
              <w:pStyle w:val="null3"/>
            </w:pPr>
            <w:r>
              <w:rPr>
                <w:rFonts w:ascii="仿宋_GB2312" w:hAnsi="仿宋_GB2312" w:cs="仿宋_GB2312" w:eastAsia="仿宋_GB2312"/>
              </w:rPr>
              <w:t>（4）运营维护要求</w:t>
            </w:r>
          </w:p>
          <w:p>
            <w:pPr>
              <w:pStyle w:val="null3"/>
            </w:pPr>
            <w:r>
              <w:rPr>
                <w:rFonts w:ascii="仿宋_GB2312" w:hAnsi="仿宋_GB2312" w:cs="仿宋_GB2312" w:eastAsia="仿宋_GB2312"/>
              </w:rPr>
              <w:t>在整个服务期内负责前端点位的日常维护工作，包括设备维护、网络维护、平台维护。</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合同签订之日起至2025年10月31日。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合同签订后，供应商开具相应正式发票后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项目完成并经验收合格后，供应商开具相应正式发票后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报价是供应商应在磋商报价表中标明完成本项目所要求内容且验收合格的所有费用,总价包括但不限于人工费、运维相关费用、电费、管理费、社保费、税金等其他一切相关费用。任何有选择的报价将不予接受，否则按无效磋商处理。 （2）项目属性：服务。 （3）本项目所属行业为：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4）按照西安市财政局关于促进政府采购公平竞争优化营商环境的通知&gt;(市财函(2021)431号)规定:供应商登记免费领取磋商文件的，如不参与项目投标，应在递交磋商响应文件截止时间前一日以书面形式告知采购代理机构。否则，采购代理机构可以向财政部门反映情况并提供相应的佐证。供应商一年内累计出现三次该情形，将被监管部门记录为失信行为。 （5）本项目是否属于信用担保试点范围：否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2、提供磋商截止时间前6个月内任意时段的依法缴纳税收的相关凭据（时间以税款所属日期为准），依法免税或无须缴纳税收的供应商应提供相关证明材料；3、提供磋商截止时间前6个月内任意时段的社会保障资金的相关材料，依法不需要缴纳社会保障金的供应商，需具有社保部门出具的证明文件；4、提供具有履行合同所必需的设备和专业技术能力的承诺；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财务状况报告：提供2024年度的财务审计报告或开标前3个月内供应商基本存款账户开户银行出具的资信证明及开户许可证（基本存款账户信息）；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资格证明文件 中小企业声明函 残疾人福利性单位声明函 业绩 标的清单 陕西省政府采购供应商拒绝政府采购领域商业贿赂承诺书 其他说明 响应函 商务条款偏离表 监狱企业的证明文件 磋商方案说明书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资格证明文件 中小企业声明函 残疾人福利性单位声明函 业绩 标的清单 陕西省政府采购供应商拒绝政府采购领域商业贿赂承诺书 其他说明 响应函 商务条款偏离表 监狱企业的证明文件 磋商方案说明书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应满足竞争性磋商文件中要求的服务地点</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提供整体运维服务技术方案（包括区域维护设备及运维要求的总体情况分析，运维系统、分区域实施计划、重点、难点分析、可能的故障分析，投入的工器具等） 服务方案得当、措施全面、合理可行，得[10-15]分；服务方案简要、措施不够全面、可行性一般，得[5-10）分；服务方案空泛或无实质性内容，得[0-5）分。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根据供应商提供的针对本项目整体服务质量保证措施响应程度综合赋分。 措施内容针对性、合理性、可行性强，得[10-15]分；措施内容有一定针对性、合理性、可行性，得[5-10）分； 措施内容简单笼统，缺乏针对性，得[0-5）分。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供应商应提供具体的售后服务方案（包括但不限于①售后服务人员及流程②故障维修处理时间③日常技术支持服务等）。 服务方案得当、措施全面、合理可行，得[10-15]分；服务方案简要、措施不够全面、可行性一般，得[5-10）分；服务方案空泛或无实质性内容，得[0-5）分。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提供突发事件应急预案内容有应急预案的响应程序和演练程序等（结合采购人现有系统运行现状和环境现状提交可能发生的突发事件应急预案，方案但不限于处置流程、事件响应时间、应急人员分工、故障诊断及排除时间要求等）。 应急保障方案得当、全面、详尽、合理可行，得[7-10]分；应急保障方案具有可行性，有一定的实操性，得[4-7）分；应急保障方案空泛或无实质性内容，得[0-4）分。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供应商提供人员配备表，人员配备合理，分工职责明确，专业性强，可实施性、合理性、协调性高，能确保项目顺利实施。根据响应内容综合赋分。 人员配备完善充足、岗位设置齐全、分工明确、管理方案详细，得[10-15]分；人员配备基本完善、岗位设置基本齐全、分工基本明确、管理方案内容简单，得[5-10）分；人员配备、岗位设置、分工及管理方案简单笼统，得[0-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保密、廉洁措施</w:t>
            </w:r>
          </w:p>
        </w:tc>
        <w:tc>
          <w:tcPr>
            <w:tcW w:type="dxa" w:w="2492"/>
          </w:tcPr>
          <w:p>
            <w:pPr>
              <w:pStyle w:val="null3"/>
            </w:pPr>
            <w:r>
              <w:rPr>
                <w:rFonts w:ascii="仿宋_GB2312" w:hAnsi="仿宋_GB2312" w:cs="仿宋_GB2312" w:eastAsia="仿宋_GB2312"/>
              </w:rPr>
              <w:t>供应商提出针对本项目保密、廉洁措施，具体合理可行高，得[3-5]分；供应商提出针对本项目实施的保密、廉洁措施，较为合理可行，得[0-3）分。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供应商提出针对本项目实施的合理化建议，具体合理可行高，得[3-5]分；供应商提出针对本项目实施的合理化建议，较为合理可行，得[0-3）分。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供应商提供近三年（2022年1月1日至今，以合同签订时间为准）的同类项目业绩，业绩以合同为依据，响应文件中附有其证明资料，每提供一个业绩证明计2.5分，满分10分。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1.经初审合格的磋商响应文件，其磋商报价为有效报价。对符合政策性扣减的有效磋商报价进行政策性扣减，并依据扣减后的价格（评审价格）进行价格评审。 2.满足磋商文件实质性要求且最终报价最低的供应商的价格为磋商基准价，其价格分为满分10分。 3.磋商报价得分=（磋商基准价/最终评审磋商报价）×10的公式计算得分。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详见附件：磋商方案说明书</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详见附件：其他说明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