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版本号：SXGS2025-ZC-01820250715001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派驻监狱检察室监控联网项目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SXGS2025-ZC-018</w:t>
      </w:r>
      <w:r>
        <w:br/>
      </w:r>
      <w:r>
        <w:br/>
      </w:r>
      <w:r>
        <w:br/>
      </w:r>
    </w:p>
    <w:p>
      <w:pPr>
        <w:pStyle w:val="null3"/>
        <w:jc w:val="center"/>
        <w:outlineLvl w:val="2"/>
      </w:pPr>
      <w:r>
        <w:rPr>
          <w:rFonts w:ascii="仿宋_GB2312" w:hAnsi="仿宋_GB2312" w:cs="仿宋_GB2312" w:eastAsia="仿宋_GB2312"/>
          <w:sz w:val="28"/>
          <w:b/>
        </w:rPr>
        <w:t>陕西西咸新区人民检察院</w:t>
      </w:r>
    </w:p>
    <w:p>
      <w:pPr>
        <w:pStyle w:val="null3"/>
        <w:jc w:val="center"/>
        <w:outlineLvl w:val="2"/>
      </w:pPr>
      <w:r>
        <w:rPr>
          <w:rFonts w:ascii="仿宋_GB2312" w:hAnsi="仿宋_GB2312" w:cs="仿宋_GB2312" w:eastAsia="仿宋_GB2312"/>
          <w:sz w:val="28"/>
          <w:b/>
        </w:rPr>
        <w:t>陕西亘上项目管理咨询有限公司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陕西亘上项目管理咨询有限公司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陕西西咸新区人民检察院</w:t>
      </w:r>
      <w:r>
        <w:rPr>
          <w:rFonts w:ascii="仿宋_GB2312" w:hAnsi="仿宋_GB2312" w:cs="仿宋_GB2312" w:eastAsia="仿宋_GB2312"/>
        </w:rPr>
        <w:t>委托，拟对</w:t>
      </w:r>
      <w:r>
        <w:rPr>
          <w:rFonts w:ascii="仿宋_GB2312" w:hAnsi="仿宋_GB2312" w:cs="仿宋_GB2312" w:eastAsia="仿宋_GB2312"/>
        </w:rPr>
        <w:t>派驻监狱检察室监控联网项目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SXGS2025-ZC-018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派驻监狱检察室监控联网项目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本项目服务地点为陕西西咸新区人民检察院；派驻监狱检察 室监控联网项目,，项目概况：主要包括手拉手无线麦克风、音 柱、反馈抑制器、电源时序器、综合布线及相关工程施工等，具 体详见采购内容。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2、法定代表人授权书：提供法定代表人授权书（附法定代表人、被授权人身份证复印件并加盖公章）（法定代表人直接参加投标，须提供法定代表人身份证明及身份证复印件并加盖公章）</w:t>
      </w:r>
    </w:p>
    <w:p>
      <w:pPr>
        <w:pStyle w:val="null3"/>
      </w:pPr>
      <w:r>
        <w:rPr>
          <w:rFonts w:ascii="仿宋_GB2312" w:hAnsi="仿宋_GB2312" w:cs="仿宋_GB2312" w:eastAsia="仿宋_GB2312"/>
        </w:rPr>
        <w:t>3、财务状况：提供经会计师事务所审计的2024年完整的财务审计报告（至少包括资产负债表和利润表，成立时间至提交投标文件截止时间不足一年的可提供成立后任意时段的资产负债表）；或其开标前半年内基本存款账户开户银行出具的资信证明（附基本存款账户信息）；</w:t>
      </w:r>
    </w:p>
    <w:p>
      <w:pPr>
        <w:pStyle w:val="null3"/>
      </w:pPr>
      <w:r>
        <w:rPr>
          <w:rFonts w:ascii="仿宋_GB2312" w:hAnsi="仿宋_GB2312" w:cs="仿宋_GB2312" w:eastAsia="仿宋_GB2312"/>
        </w:rPr>
        <w:t>4、社会保障资金：提供投标截止日前半年内任意一个月的社会保障资金缴存单据或社保机构开具的社会保险参保缴费情况证明，依法不需要缴纳社会保障资金的单位应提供相关证明材料；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5、税收缴纳证明：提供投标截止日前半年内任意一个月的纳税证明或完税证明，依法免税的单位应提供相关证明材料；</w:t>
      </w:r>
    </w:p>
    <w:p>
      <w:pPr>
        <w:pStyle w:val="null3"/>
      </w:pPr>
      <w:r>
        <w:rPr>
          <w:rFonts w:ascii="仿宋_GB2312" w:hAnsi="仿宋_GB2312" w:cs="仿宋_GB2312" w:eastAsia="仿宋_GB2312"/>
        </w:rPr>
        <w:t>6、履约能力：具有履行合同所必需的设备和专业技术能力的承诺书；</w:t>
      </w:r>
    </w:p>
    <w:p>
      <w:pPr>
        <w:pStyle w:val="null3"/>
      </w:pPr>
      <w:r>
        <w:rPr>
          <w:rFonts w:ascii="仿宋_GB2312" w:hAnsi="仿宋_GB2312" w:cs="仿宋_GB2312" w:eastAsia="仿宋_GB2312"/>
        </w:rPr>
        <w:t>7、书面声明：提供参加政府采购活动前三年内，在经营活动中没有重大违法记录书面声明；</w:t>
      </w:r>
    </w:p>
    <w:p>
      <w:pPr>
        <w:pStyle w:val="null3"/>
      </w:pPr>
      <w:r>
        <w:rPr>
          <w:rFonts w:ascii="仿宋_GB2312" w:hAnsi="仿宋_GB2312" w:cs="仿宋_GB2312" w:eastAsia="仿宋_GB2312"/>
        </w:rPr>
        <w:t>8、信用中国：截止竞争性谈判文件递交截止时间之前，供应商不得在“信用中国” 网站（www.creditchina.gov.cn）中被列入失信被执行人、或被列入异常经营名录及重大税收违法失信主体、“ 中国政府采购网(www.ccgp.gov.cn)” 未被列入政府采购严重违法失信行为记录名单；</w:t>
      </w:r>
    </w:p>
    <w:p>
      <w:pPr>
        <w:pStyle w:val="null3"/>
      </w:pPr>
      <w:r>
        <w:rPr>
          <w:rFonts w:ascii="仿宋_GB2312" w:hAnsi="仿宋_GB2312" w:cs="仿宋_GB2312" w:eastAsia="仿宋_GB2312"/>
        </w:rPr>
        <w:t>9、不接受联合体投标：本项目不接受联合体投标。（提供承诺书）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陕西西咸新区人民检察院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陕西省咸阳市渭城区窑店街道兰池二路与秦义南路交叉口兰池大厦A座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18133920670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陕西亘上项目管理咨询有限公司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陕西省西安市未央区陕西省西安市未央区未央路荣豪大厦12层11220号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02987363598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代理服务费收费标准：以中标金额为基数，依据国家计委颁发的《招标代理服务收费管理暂行 办法》（计价格[2002]1980号）国家发展和改革委员会办公厅颁发的《关于招标代理服务收费 有关问题的通知》（发改办价格[2003]857号）的有关规定执行，代理服务费不足伍仟元按伍 仟元收取。 中标单位在领取成交通知书前，须向采购代理机构一次性支付招标代理服务费。 开 户名称：陕西亘上项目管理咨询有限公司； 开户银行：中国建设银行股份有限公司西安广安路 支行 银行账号：61050173960009555555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陕西西咸新区人民检察院</w:t>
      </w:r>
      <w:r>
        <w:rPr>
          <w:rFonts w:ascii="仿宋_GB2312" w:hAnsi="仿宋_GB2312" w:cs="仿宋_GB2312" w:eastAsia="仿宋_GB2312"/>
        </w:rPr>
        <w:t>和</w:t>
      </w:r>
      <w:r>
        <w:rPr>
          <w:rFonts w:ascii="仿宋_GB2312" w:hAnsi="仿宋_GB2312" w:cs="仿宋_GB2312" w:eastAsia="仿宋_GB2312"/>
        </w:rPr>
        <w:t>陕西亘上项目管理咨询有限公司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陕西西咸新区人民检察院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陕西亘上项目管理咨询有限公司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陕西西咸新区人民检察院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陕西亘上项目管理咨询有限公司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供应商共同对项目整体进行验收。其内容包括确认设备(产品)的产地、规格、型号和数量，对其设备(产品)技术指标、性能参数以及工程质量是否达到现行国家有关验收规范“合格”标准进行逐项检查。 1.所验设备(产品)的指标、性能参数通过验收达不到招标文件承诺的，或在使用中发现采购人不能容忍的缺陷等，将视为设备(产品)验收不合格，供应商应无条件免费更换或退货。 2.若发现供应商有弄虚作假的，在招投标阶段故意或随意夸大设备(产品)技术性能，供应商应无条件退货，并赔偿采购人相应的损失。 3.验收标准：按投标文件、澄清函等技术指标进行验收。各项指标均应符合验收标准及要求。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陕西亘上项目管理咨询有限公司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陕西亘上项目管理咨询有限公司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陕西亘上项目管理咨询有限公司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联系电话：02987363598</w:t>
      </w:r>
    </w:p>
    <w:p>
      <w:pPr>
        <w:pStyle w:val="null3"/>
      </w:pPr>
      <w:r>
        <w:rPr>
          <w:rFonts w:ascii="仿宋_GB2312" w:hAnsi="仿宋_GB2312" w:cs="仿宋_GB2312" w:eastAsia="仿宋_GB2312"/>
        </w:rPr>
        <w:t>地址：未央路荣豪大厦12层1222室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本项目服务地点为陕西西咸新区人民检察院；派驻监狱检察室监控联网，主要包括手拉手无线麦克风、音柱、反馈抑制器、电源时序器、综合布线及相关工程施工等。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派驻监狱检察室监控联网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标的名称：派驻监狱检察室监控联网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、会议室设备</w:t>
            </w:r>
          </w:p>
          <w:tbl>
            <w:tblPr>
              <w:tblInd w:type="dxa" w:w="105"/>
              <w:tblBorders>
                <w:top w:val="none" w:color="000000" w:sz="4"/>
                <w:left w:val="none" w:color="000000" w:sz="4"/>
                <w:bottom w:val="none" w:color="000000" w:sz="4"/>
                <w:right w:val="none" w:color="000000" w:sz="4"/>
                <w:insideH w:val="none"/>
                <w:insideV w:val="none"/>
              </w:tblBorders>
            </w:tblPr>
            <w:tblGrid>
              <w:gridCol w:w="169"/>
              <w:gridCol w:w="437"/>
              <w:gridCol w:w="2015"/>
              <w:gridCol w:w="277"/>
              <w:gridCol w:w="281"/>
            </w:tblGrid>
            <w:tr>
              <w:tc>
                <w:tcPr>
                  <w:tcW w:type="dxa" w:w="169"/>
                  <w:tcBorders>
                    <w:top w:val="single" w:color="000000" w:sz="4"/>
                    <w:left w:val="single" w:color="000000" w:sz="4"/>
                    <w:bottom w:val="single" w:color="000000" w:sz="4"/>
                    <w:right w:val="single" w:color="000000" w:sz="4"/>
                  </w:tcBorders>
                  <w:shd w:fill="5B9BD5"/>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37"/>
                  <w:tcBorders>
                    <w:top w:val="single" w:color="000000" w:sz="4"/>
                    <w:left w:val="none" w:color="000000" w:sz="4"/>
                    <w:bottom w:val="single" w:color="000000" w:sz="4"/>
                    <w:right w:val="single" w:color="000000" w:sz="4"/>
                  </w:tcBorders>
                  <w:shd w:fill="5B9BD5"/>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类目</w:t>
                  </w:r>
                </w:p>
              </w:tc>
              <w:tc>
                <w:tcPr>
                  <w:tcW w:type="dxa" w:w="2015"/>
                  <w:tcBorders>
                    <w:top w:val="single" w:color="000000" w:sz="4"/>
                    <w:left w:val="none" w:color="000000" w:sz="4"/>
                    <w:bottom w:val="single" w:color="000000" w:sz="4"/>
                    <w:right w:val="single" w:color="000000" w:sz="4"/>
                  </w:tcBorders>
                  <w:shd w:fill="5B9BD5"/>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功能</w:t>
                  </w:r>
                </w:p>
              </w:tc>
              <w:tc>
                <w:tcPr>
                  <w:tcW w:type="dxa" w:w="277"/>
                  <w:tcBorders>
                    <w:top w:val="single" w:color="000000" w:sz="4"/>
                    <w:left w:val="none" w:color="000000" w:sz="4"/>
                    <w:bottom w:val="single" w:color="000000" w:sz="4"/>
                    <w:right w:val="single" w:color="000000" w:sz="4"/>
                  </w:tcBorders>
                  <w:shd w:fill="5B9BD5"/>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81"/>
                  <w:tcBorders>
                    <w:top w:val="single" w:color="000000" w:sz="4"/>
                    <w:left w:val="none" w:color="000000" w:sz="4"/>
                    <w:bottom w:val="single" w:color="000000" w:sz="4"/>
                    <w:right w:val="single" w:color="000000" w:sz="4"/>
                  </w:tcBorders>
                  <w:shd w:fill="5B9BD5"/>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手拉手无线麦克风</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新颖的结构设计，符合人体工程学，塑料座方管电容话筒；</w:t>
                  </w:r>
                </w:p>
                <w:p>
                  <w:pPr>
                    <w:pStyle w:val="null3"/>
                    <w:jc w:val="left"/>
                  </w:pPr>
                  <w:r>
                    <w:rPr>
                      <w:rFonts w:ascii="仿宋_GB2312" w:hAnsi="仿宋_GB2312" w:cs="仿宋_GB2312" w:eastAsia="仿宋_GB2312"/>
                      <w:sz w:val="24"/>
                      <w:color w:val="000000"/>
                    </w:rPr>
                    <w:t>驻极体超心形指向性话筒；</w:t>
                  </w:r>
                </w:p>
                <w:p>
                  <w:pPr>
                    <w:pStyle w:val="null3"/>
                    <w:jc w:val="left"/>
                  </w:pPr>
                  <w:r>
                    <w:rPr>
                      <w:rFonts w:ascii="仿宋_GB2312" w:hAnsi="仿宋_GB2312" w:cs="仿宋_GB2312" w:eastAsia="仿宋_GB2312"/>
                      <w:sz w:val="24"/>
                      <w:color w:val="000000"/>
                    </w:rPr>
                    <w:t>抗手机、电磁、高频干扰能力；</w:t>
                  </w:r>
                </w:p>
                <w:p>
                  <w:pPr>
                    <w:pStyle w:val="null3"/>
                    <w:jc w:val="left"/>
                  </w:pPr>
                  <w:r>
                    <w:rPr>
                      <w:rFonts w:ascii="仿宋_GB2312" w:hAnsi="仿宋_GB2312" w:cs="仿宋_GB2312" w:eastAsia="仿宋_GB2312"/>
                      <w:sz w:val="24"/>
                      <w:color w:val="000000"/>
                    </w:rPr>
                    <w:t>LCD显示屏，可显示话筒状态及系统菜单；</w:t>
                  </w:r>
                </w:p>
                <w:p>
                  <w:pPr>
                    <w:pStyle w:val="null3"/>
                    <w:jc w:val="left"/>
                  </w:pPr>
                  <w:r>
                    <w:rPr>
                      <w:rFonts w:ascii="仿宋_GB2312" w:hAnsi="仿宋_GB2312" w:cs="仿宋_GB2312" w:eastAsia="仿宋_GB2312"/>
                      <w:sz w:val="24"/>
                      <w:color w:val="000000"/>
                    </w:rPr>
                    <w:t>独立电源开关键，智能电路管理电池电量；</w:t>
                  </w:r>
                </w:p>
                <w:p>
                  <w:pPr>
                    <w:pStyle w:val="null3"/>
                    <w:jc w:val="left"/>
                  </w:pPr>
                  <w:r>
                    <w:rPr>
                      <w:rFonts w:ascii="仿宋_GB2312" w:hAnsi="仿宋_GB2312" w:cs="仿宋_GB2312" w:eastAsia="仿宋_GB2312"/>
                      <w:sz w:val="24"/>
                      <w:color w:val="000000"/>
                    </w:rPr>
                    <w:t>设有话筒开关按键，按下开关键，绿色</w:t>
                  </w:r>
                  <w:r>
                    <w:rPr>
                      <w:rFonts w:ascii="仿宋_GB2312" w:hAnsi="仿宋_GB2312" w:cs="仿宋_GB2312" w:eastAsia="仿宋_GB2312"/>
                      <w:sz w:val="24"/>
                      <w:color w:val="000000"/>
                    </w:rPr>
                    <w:t>LED咪管灯环亮，话筒为开启状态，关闭话筒需再按开关键；</w:t>
                  </w:r>
                </w:p>
                <w:p>
                  <w:pPr>
                    <w:pStyle w:val="null3"/>
                    <w:jc w:val="left"/>
                  </w:pPr>
                  <w:r>
                    <w:rPr>
                      <w:rFonts w:ascii="仿宋_GB2312" w:hAnsi="仿宋_GB2312" w:cs="仿宋_GB2312" w:eastAsia="仿宋_GB2312"/>
                      <w:sz w:val="24"/>
                      <w:color w:val="000000"/>
                    </w:rPr>
                    <w:t>阻尼调节结构，可以任意地将收音头调整到合适的位置；</w:t>
                  </w:r>
                </w:p>
                <w:p>
                  <w:pPr>
                    <w:pStyle w:val="null3"/>
                    <w:jc w:val="left"/>
                  </w:pPr>
                  <w:r>
                    <w:rPr>
                      <w:rFonts w:ascii="仿宋_GB2312" w:hAnsi="仿宋_GB2312" w:cs="仿宋_GB2312" w:eastAsia="仿宋_GB2312"/>
                      <w:sz w:val="24"/>
                      <w:color w:val="000000"/>
                    </w:rPr>
                    <w:t>附防风海绵罩，可减低在讲话时收到的喷气声及其他风声的情况出现；</w:t>
                  </w:r>
                </w:p>
                <w:p>
                  <w:pPr>
                    <w:pStyle w:val="null3"/>
                    <w:jc w:val="left"/>
                  </w:pPr>
                  <w:r>
                    <w:rPr>
                      <w:rFonts w:ascii="仿宋_GB2312" w:hAnsi="仿宋_GB2312" w:cs="仿宋_GB2312" w:eastAsia="仿宋_GB2312"/>
                      <w:sz w:val="24"/>
                      <w:color w:val="000000"/>
                    </w:rPr>
                    <w:t>具有视像跟踪功能，可广泛应用于会议、演讲、教学等各种场合。技术参数：</w:t>
                  </w:r>
                </w:p>
                <w:p>
                  <w:pPr>
                    <w:pStyle w:val="null3"/>
                    <w:jc w:val="left"/>
                  </w:pPr>
                  <w:r>
                    <w:rPr>
                      <w:rFonts w:ascii="仿宋_GB2312" w:hAnsi="仿宋_GB2312" w:cs="仿宋_GB2312" w:eastAsia="仿宋_GB2312"/>
                      <w:sz w:val="24"/>
                      <w:color w:val="000000"/>
                    </w:rPr>
                    <w:t>指示灯：绿色</w:t>
                  </w:r>
                  <w:r>
                    <w:rPr>
                      <w:rFonts w:ascii="仿宋_GB2312" w:hAnsi="仿宋_GB2312" w:cs="仿宋_GB2312" w:eastAsia="仿宋_GB2312"/>
                      <w:sz w:val="24"/>
                      <w:color w:val="000000"/>
                    </w:rPr>
                    <w:t>LED开启话筒咪管灯环显示</w:t>
                  </w:r>
                </w:p>
                <w:p>
                  <w:pPr>
                    <w:pStyle w:val="null3"/>
                    <w:jc w:val="left"/>
                  </w:pPr>
                  <w:r>
                    <w:rPr>
                      <w:rFonts w:ascii="仿宋_GB2312" w:hAnsi="仿宋_GB2312" w:cs="仿宋_GB2312" w:eastAsia="仿宋_GB2312"/>
                      <w:sz w:val="24"/>
                      <w:color w:val="000000"/>
                    </w:rPr>
                    <w:t>供电：直流</w:t>
                  </w:r>
                  <w:r>
                    <w:rPr>
                      <w:rFonts w:ascii="仿宋_GB2312" w:hAnsi="仿宋_GB2312" w:cs="仿宋_GB2312" w:eastAsia="仿宋_GB2312"/>
                      <w:sz w:val="24"/>
                      <w:color w:val="000000"/>
                    </w:rPr>
                    <w:t>3.7V-4.5V</w:t>
                  </w:r>
                </w:p>
                <w:p>
                  <w:pPr>
                    <w:pStyle w:val="null3"/>
                    <w:jc w:val="left"/>
                  </w:pPr>
                  <w:r>
                    <w:rPr>
                      <w:rFonts w:ascii="仿宋_GB2312" w:hAnsi="仿宋_GB2312" w:cs="仿宋_GB2312" w:eastAsia="仿宋_GB2312"/>
                      <w:sz w:val="24"/>
                      <w:color w:val="000000"/>
                    </w:rPr>
                    <w:t>消耗功率：待机</w:t>
                  </w:r>
                  <w:r>
                    <w:rPr>
                      <w:rFonts w:ascii="仿宋_GB2312" w:hAnsi="仿宋_GB2312" w:cs="仿宋_GB2312" w:eastAsia="仿宋_GB2312"/>
                      <w:sz w:val="24"/>
                      <w:color w:val="000000"/>
                    </w:rPr>
                    <w:t>≦360mW,开启话筒状态≦630mW</w:t>
                  </w:r>
                </w:p>
                <w:p>
                  <w:pPr>
                    <w:pStyle w:val="null3"/>
                    <w:jc w:val="left"/>
                  </w:pPr>
                  <w:r>
                    <w:rPr>
                      <w:rFonts w:ascii="仿宋_GB2312" w:hAnsi="仿宋_GB2312" w:cs="仿宋_GB2312" w:eastAsia="仿宋_GB2312"/>
                      <w:sz w:val="24"/>
                      <w:color w:val="000000"/>
                    </w:rPr>
                    <w:t>麦克风类型：超心形指向性驻极体</w:t>
                  </w:r>
                </w:p>
                <w:p>
                  <w:pPr>
                    <w:pStyle w:val="null3"/>
                    <w:jc w:val="left"/>
                  </w:pPr>
                  <w:r>
                    <w:rPr>
                      <w:rFonts w:ascii="仿宋_GB2312" w:hAnsi="仿宋_GB2312" w:cs="仿宋_GB2312" w:eastAsia="仿宋_GB2312"/>
                      <w:sz w:val="24"/>
                      <w:color w:val="000000"/>
                    </w:rPr>
                    <w:t>开关：电子轻触开关</w:t>
                  </w:r>
                </w:p>
                <w:p>
                  <w:pPr>
                    <w:pStyle w:val="null3"/>
                    <w:jc w:val="left"/>
                  </w:pPr>
                  <w:r>
                    <w:rPr>
                      <w:rFonts w:ascii="仿宋_GB2312" w:hAnsi="仿宋_GB2312" w:cs="仿宋_GB2312" w:eastAsia="仿宋_GB2312"/>
                      <w:sz w:val="24"/>
                      <w:color w:val="000000"/>
                    </w:rPr>
                    <w:t>音频通信方式：超高频无线电波</w:t>
                  </w:r>
                </w:p>
                <w:p>
                  <w:pPr>
                    <w:pStyle w:val="null3"/>
                    <w:jc w:val="left"/>
                  </w:pPr>
                  <w:r>
                    <w:rPr>
                      <w:rFonts w:ascii="仿宋_GB2312" w:hAnsi="仿宋_GB2312" w:cs="仿宋_GB2312" w:eastAsia="仿宋_GB2312"/>
                      <w:sz w:val="24"/>
                      <w:color w:val="000000"/>
                    </w:rPr>
                    <w:t>音频频率范围：</w:t>
                  </w:r>
                  <w:r>
                    <w:rPr>
                      <w:rFonts w:ascii="仿宋_GB2312" w:hAnsi="仿宋_GB2312" w:cs="仿宋_GB2312" w:eastAsia="仿宋_GB2312"/>
                      <w:sz w:val="24"/>
                      <w:color w:val="000000"/>
                    </w:rPr>
                    <w:t>610MHz-664.75MHz</w:t>
                  </w:r>
                </w:p>
                <w:p>
                  <w:pPr>
                    <w:pStyle w:val="null3"/>
                    <w:jc w:val="left"/>
                  </w:pPr>
                  <w:r>
                    <w:rPr>
                      <w:rFonts w:ascii="仿宋_GB2312" w:hAnsi="仿宋_GB2312" w:cs="仿宋_GB2312" w:eastAsia="仿宋_GB2312"/>
                      <w:sz w:val="24"/>
                      <w:color w:val="000000"/>
                    </w:rPr>
                    <w:t>音频信道数：</w:t>
                  </w:r>
                  <w:r>
                    <w:rPr>
                      <w:rFonts w:ascii="仿宋_GB2312" w:hAnsi="仿宋_GB2312" w:cs="仿宋_GB2312" w:eastAsia="仿宋_GB2312"/>
                      <w:sz w:val="24"/>
                      <w:color w:val="000000"/>
                    </w:rPr>
                    <w:t>5路</w:t>
                  </w:r>
                </w:p>
                <w:p>
                  <w:pPr>
                    <w:pStyle w:val="null3"/>
                    <w:jc w:val="left"/>
                  </w:pPr>
                  <w:r>
                    <w:rPr>
                      <w:rFonts w:ascii="仿宋_GB2312" w:hAnsi="仿宋_GB2312" w:cs="仿宋_GB2312" w:eastAsia="仿宋_GB2312"/>
                      <w:sz w:val="24"/>
                      <w:color w:val="000000"/>
                    </w:rPr>
                    <w:t>控制通信方式：无线</w:t>
                  </w:r>
                  <w:r>
                    <w:rPr>
                      <w:rFonts w:ascii="仿宋_GB2312" w:hAnsi="仿宋_GB2312" w:cs="仿宋_GB2312" w:eastAsia="仿宋_GB2312"/>
                      <w:sz w:val="24"/>
                      <w:color w:val="000000"/>
                    </w:rPr>
                    <w:t>433MHz频段</w:t>
                  </w:r>
                </w:p>
                <w:p>
                  <w:pPr>
                    <w:pStyle w:val="null3"/>
                    <w:jc w:val="left"/>
                  </w:pPr>
                  <w:r>
                    <w:rPr>
                      <w:rFonts w:ascii="仿宋_GB2312" w:hAnsi="仿宋_GB2312" w:cs="仿宋_GB2312" w:eastAsia="仿宋_GB2312"/>
                      <w:sz w:val="24"/>
                      <w:color w:val="000000"/>
                    </w:rPr>
                    <w:t>控制频率范围：</w:t>
                  </w:r>
                  <w:r>
                    <w:rPr>
                      <w:rFonts w:ascii="仿宋_GB2312" w:hAnsi="仿宋_GB2312" w:cs="仿宋_GB2312" w:eastAsia="仿宋_GB2312"/>
                      <w:sz w:val="24"/>
                      <w:color w:val="000000"/>
                    </w:rPr>
                    <w:t>422.4MHz-439.4MHz</w:t>
                  </w:r>
                </w:p>
                <w:p>
                  <w:pPr>
                    <w:pStyle w:val="null3"/>
                    <w:jc w:val="left"/>
                  </w:pPr>
                  <w:r>
                    <w:rPr>
                      <w:rFonts w:ascii="仿宋_GB2312" w:hAnsi="仿宋_GB2312" w:cs="仿宋_GB2312" w:eastAsia="仿宋_GB2312"/>
                      <w:sz w:val="24"/>
                      <w:color w:val="000000"/>
                    </w:rPr>
                    <w:t>控制信道数：</w:t>
                  </w:r>
                  <w:r>
                    <w:rPr>
                      <w:rFonts w:ascii="仿宋_GB2312" w:hAnsi="仿宋_GB2312" w:cs="仿宋_GB2312" w:eastAsia="仿宋_GB2312"/>
                      <w:sz w:val="24"/>
                      <w:color w:val="000000"/>
                    </w:rPr>
                    <w:t>16路</w:t>
                  </w:r>
                </w:p>
                <w:p>
                  <w:pPr>
                    <w:pStyle w:val="null3"/>
                    <w:jc w:val="left"/>
                  </w:pPr>
                  <w:r>
                    <w:rPr>
                      <w:rFonts w:ascii="仿宋_GB2312" w:hAnsi="仿宋_GB2312" w:cs="仿宋_GB2312" w:eastAsia="仿宋_GB2312"/>
                      <w:sz w:val="24"/>
                      <w:color w:val="000000"/>
                    </w:rPr>
                    <w:t>接收灵敏度：</w:t>
                  </w:r>
                  <w:r>
                    <w:rPr>
                      <w:rFonts w:ascii="仿宋_GB2312" w:hAnsi="仿宋_GB2312" w:cs="仿宋_GB2312" w:eastAsia="仿宋_GB2312"/>
                      <w:sz w:val="24"/>
                      <w:color w:val="000000"/>
                    </w:rPr>
                    <w:t>-100dBm</w:t>
                  </w:r>
                </w:p>
                <w:p>
                  <w:pPr>
                    <w:pStyle w:val="null3"/>
                    <w:jc w:val="left"/>
                  </w:pPr>
                  <w:r>
                    <w:rPr>
                      <w:rFonts w:ascii="仿宋_GB2312" w:hAnsi="仿宋_GB2312" w:cs="仿宋_GB2312" w:eastAsia="仿宋_GB2312"/>
                      <w:sz w:val="24"/>
                      <w:color w:val="000000"/>
                    </w:rPr>
                    <w:t>咪管长度：</w:t>
                  </w:r>
                  <w:r>
                    <w:rPr>
                      <w:rFonts w:ascii="仿宋_GB2312" w:hAnsi="仿宋_GB2312" w:cs="仿宋_GB2312" w:eastAsia="仿宋_GB2312"/>
                      <w:sz w:val="24"/>
                      <w:color w:val="000000"/>
                    </w:rPr>
                    <w:t>240mm</w:t>
                  </w:r>
                </w:p>
                <w:p>
                  <w:pPr>
                    <w:pStyle w:val="null3"/>
                    <w:jc w:val="left"/>
                  </w:pPr>
                  <w:r>
                    <w:rPr>
                      <w:rFonts w:ascii="仿宋_GB2312" w:hAnsi="仿宋_GB2312" w:cs="仿宋_GB2312" w:eastAsia="仿宋_GB2312"/>
                      <w:sz w:val="24"/>
                      <w:color w:val="000000"/>
                    </w:rPr>
                    <w:t>颜色：灰色</w:t>
                  </w:r>
                </w:p>
                <w:p>
                  <w:pPr>
                    <w:pStyle w:val="null3"/>
                    <w:jc w:val="left"/>
                  </w:pPr>
                  <w:r>
                    <w:rPr>
                      <w:rFonts w:ascii="仿宋_GB2312" w:hAnsi="仿宋_GB2312" w:cs="仿宋_GB2312" w:eastAsia="仿宋_GB2312"/>
                      <w:sz w:val="24"/>
                      <w:color w:val="000000"/>
                    </w:rPr>
                    <w:t>主席话筒具有主席优先功能键，可一键关闭所有代表话筒。</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音柱</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元结构上由四个4寸25芯纸盆低音扬声器和1个25芯钕铁硼高音组成；低音采用弹性与耐疲劳性俱佳的橡胶折环，中低频反应迅速、动态足；磁路采用对称设计，谐波失真小；扬声器水平排布，具有更宽水平指向性；垂直方向线性排列，垂直指向性小，传播距离远。</w:t>
                  </w:r>
                  <w:r>
                    <w:br/>
                  </w:r>
                  <w:r>
                    <w:rPr>
                      <w:rFonts w:ascii="仿宋_GB2312" w:hAnsi="仿宋_GB2312" w:cs="仿宋_GB2312" w:eastAsia="仿宋_GB2312"/>
                      <w:sz w:val="24"/>
                      <w:color w:val="000000"/>
                    </w:rPr>
                    <w:t>•分频器元件采用了损耗值较低的无氧铜电感、高品质聚丙烯电容，使分频网络稳定，音质出众；系统中加入矫正电路可对中高频和高频进行调节，使声音更自然。</w:t>
                  </w:r>
                  <w:r>
                    <w:br/>
                  </w:r>
                  <w:r>
                    <w:rPr>
                      <w:rFonts w:ascii="仿宋_GB2312" w:hAnsi="仿宋_GB2312" w:cs="仿宋_GB2312" w:eastAsia="仿宋_GB2312"/>
                      <w:sz w:val="24"/>
                      <w:color w:val="000000"/>
                    </w:rPr>
                    <w:t>•箱体采用对称梯形结构，内壁贴附吸音棉能减少驻波的产生，使中低频在听感上表现得更干净，频响上更平坦；箱体修长，适配不同的装修风格。</w:t>
                  </w:r>
                  <w:r>
                    <w:br/>
                  </w:r>
                  <w:r>
                    <w:rPr>
                      <w:rFonts w:ascii="仿宋_GB2312" w:hAnsi="仿宋_GB2312" w:cs="仿宋_GB2312" w:eastAsia="仿宋_GB2312"/>
                      <w:sz w:val="24"/>
                      <w:color w:val="000000"/>
                    </w:rPr>
                    <w:t>•特有的高频滤波功能，可对声音的明亮度进行调节；播放模式选择开关可提供“音乐”，“人声”，“平滑”三种模式，适应不同的场合。</w:t>
                  </w:r>
                  <w:r>
                    <w:br/>
                  </w:r>
                  <w:r>
                    <w:rPr>
                      <w:rFonts w:ascii="仿宋_GB2312" w:hAnsi="仿宋_GB2312" w:cs="仿宋_GB2312" w:eastAsia="仿宋_GB2312"/>
                      <w:sz w:val="24"/>
                      <w:color w:val="000000"/>
                    </w:rPr>
                    <w:t>•额定功率：160W（AES）</w:t>
                  </w:r>
                  <w:r>
                    <w:br/>
                  </w:r>
                  <w:r>
                    <w:rPr>
                      <w:rFonts w:ascii="仿宋_GB2312" w:hAnsi="仿宋_GB2312" w:cs="仿宋_GB2312" w:eastAsia="仿宋_GB2312"/>
                      <w:sz w:val="24"/>
                      <w:color w:val="000000"/>
                    </w:rPr>
                    <w:t>•额定功率：80W（IES）</w:t>
                  </w:r>
                  <w:r>
                    <w:br/>
                  </w:r>
                  <w:r>
                    <w:rPr>
                      <w:rFonts w:ascii="仿宋_GB2312" w:hAnsi="仿宋_GB2312" w:cs="仿宋_GB2312" w:eastAsia="仿宋_GB2312"/>
                      <w:sz w:val="24"/>
                      <w:color w:val="000000"/>
                    </w:rPr>
                    <w:t>•额定阻抗：8Ω</w:t>
                  </w:r>
                  <w:r>
                    <w:br/>
                  </w:r>
                  <w:r>
                    <w:rPr>
                      <w:rFonts w:ascii="仿宋_GB2312" w:hAnsi="仿宋_GB2312" w:cs="仿宋_GB2312" w:eastAsia="仿宋_GB2312"/>
                      <w:sz w:val="24"/>
                      <w:color w:val="000000"/>
                    </w:rPr>
                    <w:t>•频率响应（±3dB）：158Hz-20kHz</w:t>
                  </w:r>
                  <w:r>
                    <w:br/>
                  </w:r>
                  <w:r>
                    <w:rPr>
                      <w:rFonts w:ascii="仿宋_GB2312" w:hAnsi="仿宋_GB2312" w:cs="仿宋_GB2312" w:eastAsia="仿宋_GB2312"/>
                      <w:sz w:val="24"/>
                      <w:color w:val="000000"/>
                    </w:rPr>
                    <w:t>•灵敏度（1W/1M）：95dB</w:t>
                  </w:r>
                  <w:r>
                    <w:br/>
                  </w:r>
                  <w:r>
                    <w:rPr>
                      <w:rFonts w:ascii="仿宋_GB2312" w:hAnsi="仿宋_GB2312" w:cs="仿宋_GB2312" w:eastAsia="仿宋_GB2312"/>
                      <w:sz w:val="24"/>
                      <w:color w:val="000000"/>
                    </w:rPr>
                    <w:t>•覆盖角：H150°×V90°</w:t>
                  </w:r>
                  <w:r>
                    <w:br/>
                  </w:r>
                  <w:r>
                    <w:rPr>
                      <w:rFonts w:ascii="仿宋_GB2312" w:hAnsi="仿宋_GB2312" w:cs="仿宋_GB2312" w:eastAsia="仿宋_GB2312"/>
                      <w:sz w:val="24"/>
                      <w:color w:val="000000"/>
                    </w:rPr>
                    <w:t>•最大声压级：114dB</w:t>
                  </w:r>
                  <w:r>
                    <w:br/>
                  </w:r>
                  <w:r>
                    <w:rPr>
                      <w:rFonts w:ascii="仿宋_GB2312" w:hAnsi="仿宋_GB2312" w:cs="仿宋_GB2312" w:eastAsia="仿宋_GB2312"/>
                      <w:sz w:val="24"/>
                      <w:color w:val="000000"/>
                    </w:rPr>
                    <w:t>•分频模式：两分频</w:t>
                  </w:r>
                  <w:r>
                    <w:br/>
                  </w:r>
                  <w:r>
                    <w:rPr>
                      <w:rFonts w:ascii="仿宋_GB2312" w:hAnsi="仿宋_GB2312" w:cs="仿宋_GB2312" w:eastAsia="仿宋_GB2312"/>
                      <w:sz w:val="24"/>
                      <w:color w:val="000000"/>
                    </w:rPr>
                    <w:t>•分频点：2800Hz</w:t>
                  </w:r>
                  <w:r>
                    <w:br/>
                  </w:r>
                  <w:r>
                    <w:rPr>
                      <w:rFonts w:ascii="仿宋_GB2312" w:hAnsi="仿宋_GB2312" w:cs="仿宋_GB2312" w:eastAsia="仿宋_GB2312"/>
                      <w:sz w:val="24"/>
                      <w:color w:val="000000"/>
                    </w:rPr>
                    <w:t>•吊挂／安装：标配壁挂/支架</w:t>
                  </w:r>
                  <w:r>
                    <w:br/>
                  </w:r>
                  <w:r>
                    <w:rPr>
                      <w:rFonts w:ascii="仿宋_GB2312" w:hAnsi="仿宋_GB2312" w:cs="仿宋_GB2312" w:eastAsia="仿宋_GB2312"/>
                      <w:sz w:val="24"/>
                      <w:color w:val="000000"/>
                    </w:rPr>
                    <w:t>•接线方式：2×NL4speakon(IN1+、1-)</w:t>
                  </w:r>
                  <w:r>
                    <w:br/>
                  </w:r>
                  <w:r>
                    <w:rPr>
                      <w:rFonts w:ascii="仿宋_GB2312" w:hAnsi="仿宋_GB2312" w:cs="仿宋_GB2312" w:eastAsia="仿宋_GB2312"/>
                      <w:sz w:val="24"/>
                      <w:color w:val="000000"/>
                    </w:rPr>
                    <w:t>•箱壳：9mm中纤板</w:t>
                  </w:r>
                  <w:r>
                    <w:br/>
                  </w:r>
                  <w:r>
                    <w:rPr>
                      <w:rFonts w:ascii="仿宋_GB2312" w:hAnsi="仿宋_GB2312" w:cs="仿宋_GB2312" w:eastAsia="仿宋_GB2312"/>
                      <w:sz w:val="24"/>
                      <w:color w:val="000000"/>
                    </w:rPr>
                    <w:t>•表面处理：黑色小点漆</w:t>
                  </w:r>
                  <w:r>
                    <w:br/>
                  </w:r>
                  <w:r>
                    <w:rPr>
                      <w:rFonts w:ascii="仿宋_GB2312" w:hAnsi="仿宋_GB2312" w:cs="仿宋_GB2312" w:eastAsia="仿宋_GB2312"/>
                      <w:sz w:val="24"/>
                      <w:color w:val="000000"/>
                    </w:rPr>
                    <w:t>•单元：低音：4″×4（25芯）80磁钢；</w:t>
                  </w:r>
                  <w:r>
                    <w:br/>
                  </w:r>
                  <w:r>
                    <w:rPr>
                      <w:rFonts w:ascii="仿宋_GB2312" w:hAnsi="仿宋_GB2312" w:cs="仿宋_GB2312" w:eastAsia="仿宋_GB2312"/>
                      <w:sz w:val="24"/>
                      <w:color w:val="000000"/>
                    </w:rPr>
                    <w:t>高音：</w:t>
                  </w:r>
                  <w:r>
                    <w:rPr>
                      <w:rFonts w:ascii="仿宋_GB2312" w:hAnsi="仿宋_GB2312" w:cs="仿宋_GB2312" w:eastAsia="仿宋_GB2312"/>
                      <w:sz w:val="24"/>
                      <w:color w:val="000000"/>
                    </w:rPr>
                    <w:t>1″×1（25芯，25mm喉口）20磁钢</w:t>
                  </w:r>
                  <w:r>
                    <w:br/>
                  </w:r>
                  <w:r>
                    <w:rPr>
                      <w:rFonts w:ascii="仿宋_GB2312" w:hAnsi="仿宋_GB2312" w:cs="仿宋_GB2312" w:eastAsia="仿宋_GB2312"/>
                      <w:sz w:val="24"/>
                      <w:color w:val="000000"/>
                    </w:rPr>
                    <w:t>•规格W*D*H（mm）：142x185x600mm</w:t>
                  </w:r>
                  <w:r>
                    <w:br/>
                  </w:r>
                  <w:r>
                    <w:rPr>
                      <w:rFonts w:ascii="仿宋_GB2312" w:hAnsi="仿宋_GB2312" w:cs="仿宋_GB2312" w:eastAsia="仿宋_GB2312"/>
                      <w:sz w:val="24"/>
                      <w:color w:val="000000"/>
                    </w:rPr>
                    <w:t>•净重：约6kg</w:t>
                  </w:r>
                  <w:r>
                    <w:br/>
                  </w:r>
                  <w:r>
                    <w:rPr>
                      <w:rFonts w:ascii="仿宋_GB2312" w:hAnsi="仿宋_GB2312" w:cs="仿宋_GB2312" w:eastAsia="仿宋_GB2312"/>
                      <w:sz w:val="24"/>
                      <w:color w:val="000000"/>
                    </w:rPr>
                    <w:t>★高频增益控制★</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反馈抑制器</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•每路输入包含增益控制、24段参量均衡、噪声门、移频器、分频器和压缩器</w:t>
                  </w:r>
                  <w:r>
                    <w:br/>
                  </w:r>
                  <w:r>
                    <w:rPr>
                      <w:rFonts w:ascii="仿宋_GB2312" w:hAnsi="仿宋_GB2312" w:cs="仿宋_GB2312" w:eastAsia="仿宋_GB2312"/>
                      <w:sz w:val="24"/>
                      <w:color w:val="000000"/>
                    </w:rPr>
                    <w:t>•LCD显示屏指示每个通道电平指示、各功能开关状态及功能等级显示、当前模式状态</w:t>
                  </w:r>
                  <w:r>
                    <w:br/>
                  </w:r>
                  <w:r>
                    <w:rPr>
                      <w:rFonts w:ascii="仿宋_GB2312" w:hAnsi="仿宋_GB2312" w:cs="仿宋_GB2312" w:eastAsia="仿宋_GB2312"/>
                      <w:sz w:val="24"/>
                      <w:color w:val="000000"/>
                    </w:rPr>
                    <w:t>•2路XLR平衡输入、2路6.35平衡输入，2路XLR平衡输出、2路6.35平衡输出</w:t>
                  </w:r>
                  <w:r>
                    <w:br/>
                  </w:r>
                  <w:r>
                    <w:rPr>
                      <w:rFonts w:ascii="仿宋_GB2312" w:hAnsi="仿宋_GB2312" w:cs="仿宋_GB2312" w:eastAsia="仿宋_GB2312"/>
                      <w:sz w:val="24"/>
                      <w:color w:val="000000"/>
                    </w:rPr>
                    <w:t>•配备的PC控制软件，可运行于Win1064bit操作系统，通过USB接口，可灵活配置设备；并可实现单个或整体模式数据的导入</w:t>
                  </w:r>
                  <w:r>
                    <w:br/>
                  </w:r>
                  <w:r>
                    <w:rPr>
                      <w:rFonts w:ascii="仿宋_GB2312" w:hAnsi="仿宋_GB2312" w:cs="仿宋_GB2312" w:eastAsia="仿宋_GB2312"/>
                      <w:sz w:val="24"/>
                      <w:color w:val="000000"/>
                    </w:rPr>
                    <w:t>•所有输入／输出接口都采用完善的RF及静电防护电路，保证设备的可靠运行</w:t>
                  </w:r>
                  <w:r>
                    <w:br/>
                  </w:r>
                  <w:r>
                    <w:rPr>
                      <w:rFonts w:ascii="仿宋_GB2312" w:hAnsi="仿宋_GB2312" w:cs="仿宋_GB2312" w:eastAsia="仿宋_GB2312"/>
                      <w:sz w:val="24"/>
                      <w:color w:val="000000"/>
                    </w:rPr>
                    <w:t>测试条件：正常工作环境，平衡输入＋</w:t>
                  </w:r>
                  <w:r>
                    <w:rPr>
                      <w:rFonts w:ascii="仿宋_GB2312" w:hAnsi="仿宋_GB2312" w:cs="仿宋_GB2312" w:eastAsia="仿宋_GB2312"/>
                      <w:sz w:val="24"/>
                      <w:color w:val="000000"/>
                    </w:rPr>
                    <w:t>4dBu@1kHz正弦模拟信号，音量0dB，所有功能BYPASS直通状态</w:t>
                  </w:r>
                  <w:r>
                    <w:br/>
                  </w:r>
                  <w:r>
                    <w:rPr>
                      <w:rFonts w:ascii="仿宋_GB2312" w:hAnsi="仿宋_GB2312" w:cs="仿宋_GB2312" w:eastAsia="仿宋_GB2312"/>
                      <w:sz w:val="24"/>
                      <w:color w:val="000000"/>
                    </w:rPr>
                    <w:t>•频率响应：20Hz-20kHz±0.3dB</w:t>
                  </w:r>
                  <w:r>
                    <w:br/>
                  </w:r>
                  <w:r>
                    <w:rPr>
                      <w:rFonts w:ascii="仿宋_GB2312" w:hAnsi="仿宋_GB2312" w:cs="仿宋_GB2312" w:eastAsia="仿宋_GB2312"/>
                      <w:sz w:val="24"/>
                      <w:color w:val="000000"/>
                    </w:rPr>
                    <w:t>•失真(THD+N)：&lt;0.03%@1kHz</w:t>
                  </w:r>
                  <w:r>
                    <w:br/>
                  </w:r>
                  <w:r>
                    <w:rPr>
                      <w:rFonts w:ascii="仿宋_GB2312" w:hAnsi="仿宋_GB2312" w:cs="仿宋_GB2312" w:eastAsia="仿宋_GB2312"/>
                      <w:sz w:val="24"/>
                      <w:color w:val="000000"/>
                    </w:rPr>
                    <w:t>•ADC&amp;DAC动态范围：&gt;115dB</w:t>
                  </w:r>
                  <w:r>
                    <w:br/>
                  </w:r>
                  <w:r>
                    <w:rPr>
                      <w:rFonts w:ascii="仿宋_GB2312" w:hAnsi="仿宋_GB2312" w:cs="仿宋_GB2312" w:eastAsia="仿宋_GB2312"/>
                      <w:sz w:val="24"/>
                      <w:color w:val="000000"/>
                    </w:rPr>
                    <w:t>•输入阻抗(平衡式)：10kΩ</w:t>
                  </w:r>
                  <w:r>
                    <w:br/>
                  </w:r>
                  <w:r>
                    <w:rPr>
                      <w:rFonts w:ascii="仿宋_GB2312" w:hAnsi="仿宋_GB2312" w:cs="仿宋_GB2312" w:eastAsia="仿宋_GB2312"/>
                      <w:sz w:val="24"/>
                      <w:color w:val="000000"/>
                    </w:rPr>
                    <w:t>•输出阻抗(平衡式)：100kΩ</w:t>
                  </w:r>
                  <w:r>
                    <w:br/>
                  </w:r>
                  <w:r>
                    <w:rPr>
                      <w:rFonts w:ascii="仿宋_GB2312" w:hAnsi="仿宋_GB2312" w:cs="仿宋_GB2312" w:eastAsia="仿宋_GB2312"/>
                      <w:sz w:val="24"/>
                      <w:color w:val="000000"/>
                    </w:rPr>
                    <w:t>•隔离度：&lt;-100dB@1kHz</w:t>
                  </w:r>
                  <w:r>
                    <w:br/>
                  </w:r>
                  <w:r>
                    <w:rPr>
                      <w:rFonts w:ascii="仿宋_GB2312" w:hAnsi="仿宋_GB2312" w:cs="仿宋_GB2312" w:eastAsia="仿宋_GB2312"/>
                      <w:sz w:val="24"/>
                      <w:color w:val="000000"/>
                    </w:rPr>
                    <w:t>•最大输入电平：&gt;15dBu@1kHz</w:t>
                  </w:r>
                  <w:r>
                    <w:br/>
                  </w:r>
                  <w:r>
                    <w:rPr>
                      <w:rFonts w:ascii="仿宋_GB2312" w:hAnsi="仿宋_GB2312" w:cs="仿宋_GB2312" w:eastAsia="仿宋_GB2312"/>
                      <w:sz w:val="24"/>
                      <w:color w:val="000000"/>
                    </w:rPr>
                    <w:t>•本底噪声：&lt;-84dBu</w:t>
                  </w:r>
                  <w:r>
                    <w:br/>
                  </w:r>
                  <w:r>
                    <w:rPr>
                      <w:rFonts w:ascii="仿宋_GB2312" w:hAnsi="仿宋_GB2312" w:cs="仿宋_GB2312" w:eastAsia="仿宋_GB2312"/>
                      <w:sz w:val="24"/>
                      <w:color w:val="000000"/>
                    </w:rPr>
                    <w:t>•系统延时：&lt;2ms</w:t>
                  </w:r>
                  <w:r>
                    <w:br/>
                  </w:r>
                  <w:r>
                    <w:rPr>
                      <w:rFonts w:ascii="仿宋_GB2312" w:hAnsi="仿宋_GB2312" w:cs="仿宋_GB2312" w:eastAsia="仿宋_GB2312"/>
                      <w:sz w:val="24"/>
                      <w:color w:val="000000"/>
                    </w:rPr>
                    <w:t>•电源：~220V,50Hz/60Hz，功耗＜20W</w:t>
                  </w:r>
                  <w:r>
                    <w:br/>
                  </w:r>
                  <w:r>
                    <w:rPr>
                      <w:rFonts w:ascii="仿宋_GB2312" w:hAnsi="仿宋_GB2312" w:cs="仿宋_GB2312" w:eastAsia="仿宋_GB2312"/>
                      <w:sz w:val="24"/>
                      <w:color w:val="000000"/>
                    </w:rPr>
                    <w:t>•使用环境温度：0℃~+40℃</w:t>
                  </w:r>
                  <w:r>
                    <w:br/>
                  </w:r>
                  <w:r>
                    <w:rPr>
                      <w:rFonts w:ascii="仿宋_GB2312" w:hAnsi="仿宋_GB2312" w:cs="仿宋_GB2312" w:eastAsia="仿宋_GB2312"/>
                      <w:sz w:val="24"/>
                      <w:color w:val="000000"/>
                    </w:rPr>
                    <w:t>•存储环境温度：-10℃~+60℃</w:t>
                  </w:r>
                  <w:r>
                    <w:br/>
                  </w:r>
                  <w:r>
                    <w:rPr>
                      <w:rFonts w:ascii="仿宋_GB2312" w:hAnsi="仿宋_GB2312" w:cs="仿宋_GB2312" w:eastAsia="仿宋_GB2312"/>
                      <w:sz w:val="24"/>
                      <w:color w:val="000000"/>
                    </w:rPr>
                    <w:t>•外观尺寸(WxDxH)：483x268x45(mm)</w:t>
                  </w:r>
                  <w:r>
                    <w:br/>
                  </w:r>
                  <w:r>
                    <w:rPr>
                      <w:rFonts w:ascii="仿宋_GB2312" w:hAnsi="仿宋_GB2312" w:cs="仿宋_GB2312" w:eastAsia="仿宋_GB2312"/>
                      <w:sz w:val="24"/>
                      <w:color w:val="000000"/>
                    </w:rPr>
                    <w:t>•净重：3.5kg</w:t>
                  </w:r>
                  <w:r>
                    <w:br/>
                  </w:r>
                  <w:r>
                    <w:rPr>
                      <w:rFonts w:ascii="仿宋_GB2312" w:hAnsi="仿宋_GB2312" w:cs="仿宋_GB2312" w:eastAsia="仿宋_GB2312"/>
                      <w:sz w:val="24"/>
                      <w:color w:val="000000"/>
                    </w:rPr>
                    <w:t>•最大输出电平：&gt;15dBu@1kHz</w:t>
                  </w:r>
                  <w:r>
                    <w:br/>
                  </w:r>
                  <w:r>
                    <w:rPr>
                      <w:rFonts w:ascii="仿宋_GB2312" w:hAnsi="仿宋_GB2312" w:cs="仿宋_GB2312" w:eastAsia="仿宋_GB2312"/>
                      <w:sz w:val="24"/>
                      <w:color w:val="000000"/>
                    </w:rPr>
                    <w:t>•数字采样率及精度：96kHz24bitAD/DA400MHz32bit浮点DSP</w:t>
                  </w:r>
                  <w:r>
                    <w:br/>
                  </w:r>
                  <w:r>
                    <w:rPr>
                      <w:rFonts w:ascii="仿宋_GB2312" w:hAnsi="仿宋_GB2312" w:cs="仿宋_GB2312" w:eastAsia="仿宋_GB2312"/>
                      <w:sz w:val="24"/>
                      <w:color w:val="000000"/>
                    </w:rPr>
                    <w:t>★2寸彩屏</w:t>
                  </w:r>
                  <w:r>
                    <w:br/>
                  </w:r>
                  <w:r>
                    <w:rPr>
                      <w:rFonts w:ascii="仿宋_GB2312" w:hAnsi="仿宋_GB2312" w:cs="仿宋_GB2312" w:eastAsia="仿宋_GB2312"/>
                      <w:sz w:val="24"/>
                      <w:color w:val="000000"/>
                    </w:rPr>
                    <w:t>双通道</w:t>
                  </w:r>
                  <w:r>
                    <w:rPr>
                      <w:rFonts w:ascii="仿宋_GB2312" w:hAnsi="仿宋_GB2312" w:cs="仿宋_GB2312" w:eastAsia="仿宋_GB2312"/>
                      <w:sz w:val="24"/>
                      <w:color w:val="000000"/>
                    </w:rPr>
                    <w:t>24个自动限波点</w:t>
                  </w:r>
                  <w:r>
                    <w:br/>
                  </w:r>
                  <w:r>
                    <w:rPr>
                      <w:rFonts w:ascii="仿宋_GB2312" w:hAnsi="仿宋_GB2312" w:cs="仿宋_GB2312" w:eastAsia="仿宋_GB2312"/>
                      <w:sz w:val="24"/>
                      <w:color w:val="000000"/>
                    </w:rPr>
                    <w:t>双通道</w:t>
                  </w:r>
                  <w:r>
                    <w:rPr>
                      <w:rFonts w:ascii="仿宋_GB2312" w:hAnsi="仿宋_GB2312" w:cs="仿宋_GB2312" w:eastAsia="仿宋_GB2312"/>
                      <w:sz w:val="24"/>
                      <w:color w:val="000000"/>
                    </w:rPr>
                    <w:t>24个PEQ参量均衡</w:t>
                  </w:r>
                  <w:r>
                    <w:br/>
                  </w:r>
                  <w:r>
                    <w:rPr>
                      <w:rFonts w:ascii="仿宋_GB2312" w:hAnsi="仿宋_GB2312" w:cs="仿宋_GB2312" w:eastAsia="仿宋_GB2312"/>
                      <w:sz w:val="24"/>
                      <w:color w:val="000000"/>
                    </w:rPr>
                    <w:t>移频功能</w:t>
                  </w:r>
                  <w:r>
                    <w:br/>
                  </w:r>
                  <w:r>
                    <w:rPr>
                      <w:rFonts w:ascii="仿宋_GB2312" w:hAnsi="仿宋_GB2312" w:cs="仿宋_GB2312" w:eastAsia="仿宋_GB2312"/>
                      <w:sz w:val="24"/>
                      <w:color w:val="000000"/>
                    </w:rPr>
                    <w:t>噪声门</w:t>
                  </w:r>
                  <w:r>
                    <w:rPr>
                      <w:rFonts w:ascii="仿宋_GB2312" w:hAnsi="仿宋_GB2312" w:cs="仿宋_GB2312" w:eastAsia="仿宋_GB2312"/>
                      <w:sz w:val="24"/>
                      <w:color w:val="000000"/>
                    </w:rPr>
                    <w:t>+压缩器</w:t>
                  </w:r>
                  <w:r>
                    <w:br/>
                  </w:r>
                  <w:r>
                    <w:rPr>
                      <w:rFonts w:ascii="仿宋_GB2312" w:hAnsi="仿宋_GB2312" w:cs="仿宋_GB2312" w:eastAsia="仿宋_GB2312"/>
                      <w:sz w:val="24"/>
                      <w:color w:val="000000"/>
                    </w:rPr>
                    <w:t>USB免驱接PC软件所有参数精细调整</w:t>
                  </w:r>
                  <w:r>
                    <w:br/>
                  </w:r>
                  <w:r>
                    <w:rPr>
                      <w:rFonts w:ascii="仿宋_GB2312" w:hAnsi="仿宋_GB2312" w:cs="仿宋_GB2312" w:eastAsia="仿宋_GB2312"/>
                      <w:sz w:val="24"/>
                      <w:color w:val="000000"/>
                    </w:rPr>
                    <w:t>面板全功能设置</w:t>
                  </w:r>
                  <w:r>
                    <w:br/>
                  </w:r>
                  <w:r>
                    <w:rPr>
                      <w:rFonts w:ascii="仿宋_GB2312" w:hAnsi="仿宋_GB2312" w:cs="仿宋_GB2312" w:eastAsia="仿宋_GB2312"/>
                      <w:sz w:val="24"/>
                      <w:color w:val="000000"/>
                    </w:rPr>
                    <w:t>十组预设可编辑存储</w:t>
                  </w:r>
                  <w:r>
                    <w:br/>
                  </w:r>
                  <w:r>
                    <w:rPr>
                      <w:rFonts w:ascii="仿宋_GB2312" w:hAnsi="仿宋_GB2312" w:cs="仿宋_GB2312" w:eastAsia="仿宋_GB2312"/>
                      <w:sz w:val="24"/>
                      <w:color w:val="000000"/>
                    </w:rPr>
                    <w:t>提供第三方检测报告</w:t>
                  </w:r>
                  <w:r>
                    <w:rPr>
                      <w:rFonts w:ascii="仿宋_GB2312" w:hAnsi="仿宋_GB2312" w:cs="仿宋_GB2312" w:eastAsia="仿宋_GB2312"/>
                      <w:sz w:val="24"/>
                      <w:color w:val="000000"/>
                    </w:rPr>
                    <w:t>★</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电源时序器</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•自带滤波功能，减少外来干扰；</w:t>
                  </w:r>
                  <w:r>
                    <w:br/>
                  </w:r>
                  <w:r>
                    <w:rPr>
                      <w:rFonts w:ascii="仿宋_GB2312" w:hAnsi="仿宋_GB2312" w:cs="仿宋_GB2312" w:eastAsia="仿宋_GB2312"/>
                      <w:sz w:val="24"/>
                      <w:color w:val="000000"/>
                    </w:rPr>
                    <w:t>•一键急救电源，可应对各种恶劣环境；</w:t>
                  </w:r>
                  <w:r>
                    <w:br/>
                  </w:r>
                  <w:r>
                    <w:rPr>
                      <w:rFonts w:ascii="仿宋_GB2312" w:hAnsi="仿宋_GB2312" w:cs="仿宋_GB2312" w:eastAsia="仿宋_GB2312"/>
                      <w:sz w:val="24"/>
                      <w:color w:val="000000"/>
                    </w:rPr>
                    <w:t>•通过前面板开关自动时序上电或关电；</w:t>
                  </w:r>
                  <w:r>
                    <w:br/>
                  </w:r>
                  <w:r>
                    <w:rPr>
                      <w:rFonts w:ascii="仿宋_GB2312" w:hAnsi="仿宋_GB2312" w:cs="仿宋_GB2312" w:eastAsia="仿宋_GB2312"/>
                      <w:sz w:val="24"/>
                      <w:color w:val="000000"/>
                    </w:rPr>
                    <w:t>•8路可控通道+2路直通通道；</w:t>
                  </w:r>
                  <w:r>
                    <w:br/>
                  </w:r>
                  <w:r>
                    <w:rPr>
                      <w:rFonts w:ascii="仿宋_GB2312" w:hAnsi="仿宋_GB2312" w:cs="仿宋_GB2312" w:eastAsia="仿宋_GB2312"/>
                      <w:sz w:val="24"/>
                      <w:color w:val="000000"/>
                    </w:rPr>
                    <w:t>•8路可控通道每路最大通过电流10A；</w:t>
                  </w:r>
                  <w:r>
                    <w:br/>
                  </w:r>
                  <w:r>
                    <w:rPr>
                      <w:rFonts w:ascii="仿宋_GB2312" w:hAnsi="仿宋_GB2312" w:cs="仿宋_GB2312" w:eastAsia="仿宋_GB2312"/>
                      <w:sz w:val="24"/>
                      <w:color w:val="000000"/>
                    </w:rPr>
                    <w:t>•每路有LED显示灯，可直观的看到每个通道的工作状态；</w:t>
                  </w:r>
                  <w:r>
                    <w:br/>
                  </w:r>
                  <w:r>
                    <w:rPr>
                      <w:rFonts w:ascii="仿宋_GB2312" w:hAnsi="仿宋_GB2312" w:cs="仿宋_GB2312" w:eastAsia="仿宋_GB2312"/>
                      <w:sz w:val="24"/>
                      <w:color w:val="000000"/>
                    </w:rPr>
                    <w:t>•实时电压显示，可直观的看到设备所处地点的工作电压；</w:t>
                  </w:r>
                  <w:r>
                    <w:br/>
                  </w:r>
                  <w:r>
                    <w:rPr>
                      <w:rFonts w:ascii="仿宋_GB2312" w:hAnsi="仿宋_GB2312" w:cs="仿宋_GB2312" w:eastAsia="仿宋_GB2312"/>
                      <w:sz w:val="24"/>
                      <w:color w:val="000000"/>
                    </w:rPr>
                    <w:t>•采用高品质的万用座，对接紧密，不易脱落，适应各种规格的电源插头。</w:t>
                  </w:r>
                  <w:r>
                    <w:br/>
                  </w:r>
                  <w:r>
                    <w:rPr>
                      <w:rFonts w:ascii="仿宋_GB2312" w:hAnsi="仿宋_GB2312" w:cs="仿宋_GB2312" w:eastAsia="仿宋_GB2312"/>
                      <w:sz w:val="24"/>
                      <w:color w:val="000000"/>
                    </w:rPr>
                    <w:t>•输入电源：AC220V/50Hz</w:t>
                  </w:r>
                  <w:r>
                    <w:br/>
                  </w:r>
                  <w:r>
                    <w:rPr>
                      <w:rFonts w:ascii="仿宋_GB2312" w:hAnsi="仿宋_GB2312" w:cs="仿宋_GB2312" w:eastAsia="仿宋_GB2312"/>
                      <w:sz w:val="24"/>
                      <w:color w:val="000000"/>
                    </w:rPr>
                    <w:t>•电源容量：总容量220V，30A</w:t>
                  </w:r>
                  <w:r>
                    <w:br/>
                  </w:r>
                  <w:r>
                    <w:rPr>
                      <w:rFonts w:ascii="仿宋_GB2312" w:hAnsi="仿宋_GB2312" w:cs="仿宋_GB2312" w:eastAsia="仿宋_GB2312"/>
                      <w:sz w:val="24"/>
                      <w:color w:val="000000"/>
                    </w:rPr>
                    <w:t>•输入电源电缆：3×4平方毫米纯铜RVV电缆</w:t>
                  </w:r>
                  <w:r>
                    <w:br/>
                  </w:r>
                  <w:r>
                    <w:rPr>
                      <w:rFonts w:ascii="仿宋_GB2312" w:hAnsi="仿宋_GB2312" w:cs="仿宋_GB2312" w:eastAsia="仿宋_GB2312"/>
                      <w:sz w:val="24"/>
                      <w:color w:val="000000"/>
                    </w:rPr>
                    <w:t>•控制路数：8路</w:t>
                  </w:r>
                  <w:r>
                    <w:br/>
                  </w:r>
                  <w:r>
                    <w:rPr>
                      <w:rFonts w:ascii="仿宋_GB2312" w:hAnsi="仿宋_GB2312" w:cs="仿宋_GB2312" w:eastAsia="仿宋_GB2312"/>
                      <w:sz w:val="24"/>
                      <w:color w:val="000000"/>
                    </w:rPr>
                    <w:t>•直通插座：2个</w:t>
                  </w:r>
                  <w:r>
                    <w:br/>
                  </w:r>
                  <w:r>
                    <w:rPr>
                      <w:rFonts w:ascii="仿宋_GB2312" w:hAnsi="仿宋_GB2312" w:cs="仿宋_GB2312" w:eastAsia="仿宋_GB2312"/>
                      <w:sz w:val="24"/>
                      <w:color w:val="000000"/>
                    </w:rPr>
                    <w:t>•插座：通用三芯插座</w:t>
                  </w:r>
                  <w:r>
                    <w:br/>
                  </w:r>
                  <w:r>
                    <w:rPr>
                      <w:rFonts w:ascii="仿宋_GB2312" w:hAnsi="仿宋_GB2312" w:cs="仿宋_GB2312" w:eastAsia="仿宋_GB2312"/>
                      <w:sz w:val="24"/>
                      <w:color w:val="000000"/>
                    </w:rPr>
                    <w:t>•通断指示灯：8个LED灯（红色），每路对应一个</w:t>
                  </w:r>
                  <w:r>
                    <w:br/>
                  </w:r>
                  <w:r>
                    <w:rPr>
                      <w:rFonts w:ascii="仿宋_GB2312" w:hAnsi="仿宋_GB2312" w:cs="仿宋_GB2312" w:eastAsia="仿宋_GB2312"/>
                      <w:sz w:val="24"/>
                      <w:color w:val="000000"/>
                    </w:rPr>
                    <w:t>•输入电源指示灯：一个LED灯（绿色）</w:t>
                  </w:r>
                  <w:r>
                    <w:br/>
                  </w:r>
                  <w:r>
                    <w:rPr>
                      <w:rFonts w:ascii="仿宋_GB2312" w:hAnsi="仿宋_GB2312" w:cs="仿宋_GB2312" w:eastAsia="仿宋_GB2312"/>
                      <w:sz w:val="24"/>
                      <w:color w:val="000000"/>
                    </w:rPr>
                    <w:t>•出厂时的时序间隔：1秒</w:t>
                  </w:r>
                  <w:r>
                    <w:br/>
                  </w:r>
                  <w:r>
                    <w:rPr>
                      <w:rFonts w:ascii="仿宋_GB2312" w:hAnsi="仿宋_GB2312" w:cs="仿宋_GB2312" w:eastAsia="仿宋_GB2312"/>
                      <w:sz w:val="24"/>
                      <w:color w:val="000000"/>
                    </w:rPr>
                    <w:t>•产品尺寸(W×D×H)：482×166×44mm</w:t>
                  </w:r>
                  <w:r>
                    <w:br/>
                  </w:r>
                  <w:r>
                    <w:rPr>
                      <w:rFonts w:ascii="仿宋_GB2312" w:hAnsi="仿宋_GB2312" w:cs="仿宋_GB2312" w:eastAsia="仿宋_GB2312"/>
                      <w:sz w:val="24"/>
                      <w:color w:val="000000"/>
                    </w:rPr>
                    <w:t>•重量：约2.85Kg</w:t>
                  </w:r>
                  <w:r>
                    <w:br/>
                  </w:r>
                  <w:r>
                    <w:rPr>
                      <w:rFonts w:ascii="仿宋_GB2312" w:hAnsi="仿宋_GB2312" w:cs="仿宋_GB2312" w:eastAsia="仿宋_GB2312"/>
                      <w:sz w:val="24"/>
                      <w:color w:val="000000"/>
                    </w:rPr>
                    <w:t>★电路滤波功能★</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实时语音转写系统</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rFonts w:ascii="仿宋_GB2312" w:hAnsi="仿宋_GB2312" w:cs="仿宋_GB2312" w:eastAsia="仿宋_GB2312"/>
                      <w:sz w:val="24"/>
                      <w:color w:val="000000"/>
                    </w:rPr>
                    <w:t>1、系统架构设计</w:t>
                  </w:r>
                </w:p>
                <w:p>
                  <w:pPr>
                    <w:pStyle w:val="null3"/>
                    <w:ind w:right="105" w:firstLine="480"/>
                    <w:jc w:val="left"/>
                  </w:pPr>
                  <w:r>
                    <w:rPr>
                      <w:rFonts w:ascii="仿宋_GB2312" w:hAnsi="仿宋_GB2312" w:cs="仿宋_GB2312" w:eastAsia="仿宋_GB2312"/>
                      <w:sz w:val="24"/>
                      <w:color w:val="000000"/>
                    </w:rPr>
                    <w:t>系统采用</w:t>
                  </w:r>
                  <w:r>
                    <w:rPr>
                      <w:rFonts w:ascii="仿宋_GB2312" w:hAnsi="仿宋_GB2312" w:cs="仿宋_GB2312" w:eastAsia="仿宋_GB2312"/>
                      <w:sz w:val="24"/>
                      <w:color w:val="000000"/>
                    </w:rPr>
                    <w:t>B/S架构模式，具备良好的可扩展性与部署便捷性，确保系统在不同网络环境下均能稳定运行。与会议主机的无缝对接，提供响应迅速、操作流畅的一体化会议记录解决方案。</w:t>
                  </w:r>
                </w:p>
                <w:p>
                  <w:pPr>
                    <w:pStyle w:val="null3"/>
                    <w:ind w:right="105"/>
                    <w:jc w:val="left"/>
                  </w:pPr>
                  <w:r>
                    <w:rPr>
                      <w:rFonts w:ascii="仿宋_GB2312" w:hAnsi="仿宋_GB2312" w:cs="仿宋_GB2312" w:eastAsia="仿宋_GB2312"/>
                      <w:sz w:val="24"/>
                      <w:color w:val="000000"/>
                    </w:rPr>
                    <w:t>2、平台兼容性</w:t>
                  </w:r>
                </w:p>
                <w:p>
                  <w:pPr>
                    <w:pStyle w:val="null3"/>
                    <w:ind w:right="105" w:firstLine="480"/>
                    <w:jc w:val="left"/>
                  </w:pPr>
                  <w:r>
                    <w:rPr>
                      <w:rFonts w:ascii="仿宋_GB2312" w:hAnsi="仿宋_GB2312" w:cs="仿宋_GB2312" w:eastAsia="仿宋_GB2312"/>
                      <w:sz w:val="24"/>
                      <w:color w:val="000000"/>
                    </w:rPr>
                    <w:t>系统需适配主流操作系统环境，包括</w:t>
                  </w:r>
                  <w:r>
                    <w:rPr>
                      <w:rFonts w:ascii="仿宋_GB2312" w:hAnsi="仿宋_GB2312" w:cs="仿宋_GB2312" w:eastAsia="仿宋_GB2312"/>
                      <w:sz w:val="24"/>
                      <w:color w:val="000000"/>
                    </w:rPr>
                    <w:t>Windows、macOS、银河麒麟、统信UOS以及各类Linux发行版，确保在国产化和国际化双轨体系下均能顺畅运行。支持多样化终端需求，提升系统的适用性与部署灵活性。</w:t>
                  </w:r>
                </w:p>
                <w:p>
                  <w:pPr>
                    <w:pStyle w:val="null3"/>
                    <w:ind w:right="105"/>
                    <w:jc w:val="left"/>
                  </w:pPr>
                  <w:r>
                    <w:rPr>
                      <w:rFonts w:ascii="仿宋_GB2312" w:hAnsi="仿宋_GB2312" w:cs="仿宋_GB2312" w:eastAsia="仿宋_GB2312"/>
                      <w:sz w:val="24"/>
                      <w:color w:val="000000"/>
                    </w:rPr>
                    <w:t>3、实时转录技术</w:t>
                  </w:r>
                </w:p>
                <w:p>
                  <w:pPr>
                    <w:pStyle w:val="null3"/>
                    <w:ind w:right="105" w:firstLine="480"/>
                    <w:jc w:val="left"/>
                  </w:pPr>
                  <w:r>
                    <w:rPr>
                      <w:rFonts w:ascii="仿宋_GB2312" w:hAnsi="仿宋_GB2312" w:cs="仿宋_GB2312" w:eastAsia="仿宋_GB2312"/>
                      <w:sz w:val="24"/>
                      <w:color w:val="000000"/>
                    </w:rPr>
                    <w:t>系统支持会议场景下的实时语音转写功能，语音输入至文字输出的响应时间不超过</w:t>
                  </w:r>
                  <w:r>
                    <w:rPr>
                      <w:rFonts w:ascii="仿宋_GB2312" w:hAnsi="仿宋_GB2312" w:cs="仿宋_GB2312" w:eastAsia="仿宋_GB2312"/>
                      <w:sz w:val="24"/>
                      <w:color w:val="000000"/>
                    </w:rPr>
                    <w:t>1秒。精准拾取麦克风采集的语音信号，同步生成高保真录音文件与结构化文字记录，确保会议过程中的每一句话都被完整记录，便于后续查阅与归档。</w:t>
                  </w:r>
                </w:p>
                <w:p>
                  <w:pPr>
                    <w:pStyle w:val="null3"/>
                    <w:ind w:right="105"/>
                    <w:jc w:val="left"/>
                  </w:pPr>
                  <w:r>
                    <w:rPr>
                      <w:rFonts w:ascii="仿宋_GB2312" w:hAnsi="仿宋_GB2312" w:cs="仿宋_GB2312" w:eastAsia="仿宋_GB2312"/>
                      <w:sz w:val="24"/>
                      <w:color w:val="000000"/>
                    </w:rPr>
                    <w:t>4、多语种识别能力</w:t>
                  </w:r>
                </w:p>
                <w:p>
                  <w:pPr>
                    <w:pStyle w:val="null3"/>
                    <w:ind w:right="105" w:firstLine="480"/>
                    <w:jc w:val="left"/>
                  </w:pPr>
                  <w:r>
                    <w:rPr>
                      <w:rFonts w:ascii="仿宋_GB2312" w:hAnsi="仿宋_GB2312" w:cs="仿宋_GB2312" w:eastAsia="仿宋_GB2312"/>
                      <w:sz w:val="24"/>
                      <w:color w:val="000000"/>
                    </w:rPr>
                    <w:t>系统需支持中文普通话及英文语言的自动识别，识别准确率高达</w:t>
                  </w:r>
                  <w:r>
                    <w:rPr>
                      <w:rFonts w:ascii="仿宋_GB2312" w:hAnsi="仿宋_GB2312" w:cs="仿宋_GB2312" w:eastAsia="仿宋_GB2312"/>
                      <w:sz w:val="24"/>
                      <w:color w:val="000000"/>
                    </w:rPr>
                    <w:t>95%以上，满足双语、国际交流等多元化语言环境下的教学记录需求。</w:t>
                  </w:r>
                </w:p>
                <w:p>
                  <w:pPr>
                    <w:pStyle w:val="null3"/>
                    <w:ind w:right="105"/>
                    <w:jc w:val="left"/>
                  </w:pPr>
                  <w:r>
                    <w:rPr>
                      <w:rFonts w:ascii="仿宋_GB2312" w:hAnsi="仿宋_GB2312" w:cs="仿宋_GB2312" w:eastAsia="仿宋_GB2312"/>
                      <w:sz w:val="24"/>
                      <w:color w:val="000000"/>
                    </w:rPr>
                    <w:t>5、灵活的文本输出</w:t>
                  </w:r>
                </w:p>
                <w:p>
                  <w:pPr>
                    <w:pStyle w:val="null3"/>
                    <w:ind w:right="105" w:firstLine="480"/>
                    <w:jc w:val="left"/>
                  </w:pPr>
                  <w:r>
                    <w:rPr>
                      <w:rFonts w:ascii="仿宋_GB2312" w:hAnsi="仿宋_GB2312" w:cs="仿宋_GB2312" w:eastAsia="仿宋_GB2312"/>
                      <w:sz w:val="24"/>
                      <w:color w:val="000000"/>
                    </w:rPr>
                    <w:t>转写完成的文字记录支持导出为标准</w:t>
                  </w:r>
                  <w:r>
                    <w:rPr>
                      <w:rFonts w:ascii="仿宋_GB2312" w:hAnsi="仿宋_GB2312" w:cs="仿宋_GB2312" w:eastAsia="仿宋_GB2312"/>
                      <w:sz w:val="24"/>
                      <w:color w:val="000000"/>
                    </w:rPr>
                    <w:t>docx文档格式，并附带精确的时间戳信息，便于参会人员快速定位关键内容，提升会议记录整理效率与信息检索准确性。</w:t>
                  </w:r>
                </w:p>
                <w:p>
                  <w:pPr>
                    <w:pStyle w:val="null3"/>
                    <w:ind w:right="105"/>
                    <w:jc w:val="left"/>
                  </w:pPr>
                  <w:r>
                    <w:rPr>
                      <w:rFonts w:ascii="仿宋_GB2312" w:hAnsi="仿宋_GB2312" w:cs="仿宋_GB2312" w:eastAsia="仿宋_GB2312"/>
                      <w:sz w:val="24"/>
                      <w:color w:val="000000"/>
                    </w:rPr>
                    <w:t>★6、离线转录功能</w:t>
                  </w:r>
                </w:p>
                <w:p>
                  <w:pPr>
                    <w:pStyle w:val="null3"/>
                    <w:ind w:right="105" w:firstLine="480"/>
                    <w:jc w:val="left"/>
                  </w:pPr>
                  <w:r>
                    <w:rPr>
                      <w:rFonts w:ascii="仿宋_GB2312" w:hAnsi="仿宋_GB2312" w:cs="仿宋_GB2312" w:eastAsia="仿宋_GB2312"/>
                      <w:sz w:val="24"/>
                      <w:color w:val="000000"/>
                    </w:rPr>
                    <w:t>系统需支持完全离线状态下的语音转写操作，所有数据处理均在本地完成，无需依赖外部网络连接。录音文件与转写结果本地存储。（请提供该功能的操作界面截图或证明材料以佐证其技术实现性）</w:t>
                  </w:r>
                </w:p>
                <w:p>
                  <w:pPr>
                    <w:pStyle w:val="null3"/>
                    <w:ind w:right="105"/>
                    <w:jc w:val="left"/>
                  </w:pPr>
                  <w:r>
                    <w:rPr>
                      <w:rFonts w:ascii="仿宋_GB2312" w:hAnsi="仿宋_GB2312" w:cs="仿宋_GB2312" w:eastAsia="仿宋_GB2312"/>
                      <w:sz w:val="24"/>
                      <w:color w:val="000000"/>
                    </w:rPr>
                    <w:t>7、无限制录音转写</w:t>
                  </w:r>
                </w:p>
                <w:p>
                  <w:pPr>
                    <w:pStyle w:val="null3"/>
                    <w:ind w:right="105" w:firstLine="480"/>
                    <w:jc w:val="left"/>
                  </w:pPr>
                  <w:r>
                    <w:rPr>
                      <w:rFonts w:ascii="仿宋_GB2312" w:hAnsi="仿宋_GB2312" w:cs="仿宋_GB2312" w:eastAsia="仿宋_GB2312"/>
                      <w:sz w:val="24"/>
                      <w:color w:val="000000"/>
                    </w:rPr>
                    <w:t>系统需支持长时间连续录音与实时转写，适应多环节的会议记录需求，确保全过程被完整记录，不留遗漏。</w:t>
                  </w:r>
                </w:p>
                <w:p>
                  <w:pPr>
                    <w:pStyle w:val="null3"/>
                    <w:ind w:right="105" w:firstLine="480"/>
                    <w:jc w:val="left"/>
                  </w:pPr>
                  <w:r>
                    <w:rPr>
                      <w:rFonts w:ascii="仿宋_GB2312" w:hAnsi="仿宋_GB2312" w:cs="仿宋_GB2312" w:eastAsia="仿宋_GB2312"/>
                      <w:sz w:val="24"/>
                      <w:color w:val="000000"/>
                    </w:rPr>
                    <w:t>即时生成与查看</w:t>
                  </w:r>
                </w:p>
                <w:p>
                  <w:pPr>
                    <w:pStyle w:val="null3"/>
                    <w:ind w:right="105" w:firstLine="480"/>
                    <w:jc w:val="left"/>
                  </w:pPr>
                  <w:r>
                    <w:rPr>
                      <w:rFonts w:ascii="仿宋_GB2312" w:hAnsi="仿宋_GB2312" w:cs="仿宋_GB2312" w:eastAsia="仿宋_GB2312"/>
                      <w:sz w:val="24"/>
                      <w:color w:val="000000"/>
                    </w:rPr>
                    <w:t>录音结束后，系统将自动整合语音与转写内容，即时生成完整的记录，可通过系统界面随时查阅历史记录。</w:t>
                  </w:r>
                </w:p>
                <w:p>
                  <w:pPr>
                    <w:pStyle w:val="null3"/>
                    <w:ind w:right="105"/>
                    <w:jc w:val="left"/>
                  </w:pPr>
                  <w:r>
                    <w:rPr>
                      <w:rFonts w:ascii="仿宋_GB2312" w:hAnsi="仿宋_GB2312" w:cs="仿宋_GB2312" w:eastAsia="仿宋_GB2312"/>
                      <w:sz w:val="24"/>
                      <w:color w:val="000000"/>
                    </w:rPr>
                    <w:t>★9、智能筛选与展示</w:t>
                  </w:r>
                </w:p>
                <w:p>
                  <w:pPr>
                    <w:pStyle w:val="null3"/>
                    <w:ind w:right="105" w:firstLine="480"/>
                    <w:jc w:val="left"/>
                  </w:pPr>
                  <w:r>
                    <w:rPr>
                      <w:rFonts w:ascii="仿宋_GB2312" w:hAnsi="仿宋_GB2312" w:cs="仿宋_GB2312" w:eastAsia="仿宋_GB2312"/>
                      <w:sz w:val="24"/>
                      <w:color w:val="000000"/>
                    </w:rPr>
                    <w:t>系统提供基于</w:t>
                  </w:r>
                  <w:r>
                    <w:rPr>
                      <w:rFonts w:ascii="仿宋_GB2312" w:hAnsi="仿宋_GB2312" w:cs="仿宋_GB2312" w:eastAsia="仿宋_GB2312"/>
                      <w:sz w:val="24"/>
                      <w:color w:val="000000"/>
                    </w:rPr>
                    <w:t>“会议名称”、“参会人姓名”、“会议日期”等多个维度的智能筛选功能，快速定位所需记录。界面直观展示课程摘要信息。（请提供该功能的操作界面截图或证明材料以佐证其技术实现性）</w:t>
                  </w:r>
                </w:p>
                <w:p>
                  <w:pPr>
                    <w:pStyle w:val="null3"/>
                    <w:ind w:right="105" w:firstLine="480"/>
                    <w:jc w:val="left"/>
                  </w:pPr>
                  <w:r>
                    <w:rPr>
                      <w:rFonts w:ascii="仿宋_GB2312" w:hAnsi="仿宋_GB2312" w:cs="仿宋_GB2312" w:eastAsia="仿宋_GB2312"/>
                      <w:sz w:val="24"/>
                      <w:color w:val="000000"/>
                    </w:rPr>
                    <w:t>导出与删除功能</w:t>
                  </w:r>
                </w:p>
                <w:p>
                  <w:pPr>
                    <w:pStyle w:val="null3"/>
                    <w:ind w:right="105" w:firstLine="480"/>
                    <w:jc w:val="left"/>
                  </w:pPr>
                  <w:r>
                    <w:rPr>
                      <w:rFonts w:ascii="仿宋_GB2312" w:hAnsi="仿宋_GB2312" w:cs="仿宋_GB2312" w:eastAsia="仿宋_GB2312"/>
                      <w:sz w:val="24"/>
                      <w:color w:val="000000"/>
                    </w:rPr>
                    <w:t>转写文字记录支持以</w:t>
                  </w:r>
                  <w:r>
                    <w:rPr>
                      <w:rFonts w:ascii="仿宋_GB2312" w:hAnsi="仿宋_GB2312" w:cs="仿宋_GB2312" w:eastAsia="仿宋_GB2312"/>
                      <w:sz w:val="24"/>
                      <w:color w:val="000000"/>
                    </w:rPr>
                    <w:t>docx格式导出选项，保留时间戳信息；可自主删除不必要记录，维护记录整洁。</w:t>
                  </w:r>
                </w:p>
                <w:p>
                  <w:pPr>
                    <w:pStyle w:val="null3"/>
                    <w:ind w:right="105"/>
                    <w:jc w:val="left"/>
                  </w:pPr>
                  <w:r>
                    <w:rPr>
                      <w:rFonts w:ascii="仿宋_GB2312" w:hAnsi="仿宋_GB2312" w:cs="仿宋_GB2312" w:eastAsia="仿宋_GB2312"/>
                      <w:sz w:val="24"/>
                      <w:color w:val="000000"/>
                    </w:rPr>
                    <w:t>10、数据安全保障</w:t>
                  </w:r>
                </w:p>
                <w:p>
                  <w:pPr>
                    <w:pStyle w:val="null3"/>
                    <w:ind w:right="105" w:firstLine="480"/>
                    <w:jc w:val="left"/>
                  </w:pPr>
                  <w:r>
                    <w:rPr>
                      <w:rFonts w:ascii="仿宋_GB2312" w:hAnsi="仿宋_GB2312" w:cs="仿宋_GB2312" w:eastAsia="仿宋_GB2312"/>
                      <w:sz w:val="24"/>
                      <w:color w:val="000000"/>
                    </w:rPr>
                    <w:t>系统采用严格的权限控制机制，禁止越权访问与数据泄露。</w:t>
                  </w:r>
                </w:p>
                <w:p>
                  <w:pPr>
                    <w:pStyle w:val="null3"/>
                    <w:ind w:right="105"/>
                    <w:jc w:val="left"/>
                  </w:pPr>
                  <w:r>
                    <w:rPr>
                      <w:rFonts w:ascii="仿宋_GB2312" w:hAnsi="仿宋_GB2312" w:cs="仿宋_GB2312" w:eastAsia="仿宋_GB2312"/>
                      <w:sz w:val="24"/>
                      <w:color w:val="000000"/>
                    </w:rPr>
                    <w:t>11、跨设备投屏技术</w:t>
                  </w:r>
                </w:p>
                <w:p>
                  <w:pPr>
                    <w:pStyle w:val="null3"/>
                    <w:ind w:right="105" w:firstLine="480"/>
                    <w:jc w:val="left"/>
                  </w:pPr>
                  <w:r>
                    <w:rPr>
                      <w:rFonts w:ascii="仿宋_GB2312" w:hAnsi="仿宋_GB2312" w:cs="仿宋_GB2312" w:eastAsia="仿宋_GB2312"/>
                      <w:sz w:val="24"/>
                      <w:color w:val="000000"/>
                    </w:rPr>
                    <w:t>系统需支持在同一局域网内将实时生成的语音转写字幕投射至任意显示设备。</w:t>
                  </w:r>
                </w:p>
                <w:p>
                  <w:pPr>
                    <w:pStyle w:val="null3"/>
                    <w:ind w:right="105"/>
                    <w:jc w:val="left"/>
                  </w:pPr>
                  <w:r>
                    <w:rPr>
                      <w:rFonts w:ascii="仿宋_GB2312" w:hAnsi="仿宋_GB2312" w:cs="仿宋_GB2312" w:eastAsia="仿宋_GB2312"/>
                      <w:sz w:val="24"/>
                      <w:color w:val="000000"/>
                    </w:rPr>
                    <w:t>12、角色权限划分</w:t>
                  </w:r>
                </w:p>
                <w:p>
                  <w:pPr>
                    <w:pStyle w:val="null3"/>
                    <w:ind w:right="105" w:firstLine="480"/>
                    <w:jc w:val="left"/>
                  </w:pPr>
                  <w:r>
                    <w:rPr>
                      <w:rFonts w:ascii="仿宋_GB2312" w:hAnsi="仿宋_GB2312" w:cs="仿宋_GB2312" w:eastAsia="仿宋_GB2312"/>
                      <w:sz w:val="24"/>
                      <w:color w:val="000000"/>
                    </w:rPr>
                    <w:t>系统支持基于多角色的权限管理机制，针对不同角色分配差异化的功能操作权限。</w:t>
                  </w:r>
                </w:p>
                <w:p>
                  <w:pPr>
                    <w:pStyle w:val="null3"/>
                    <w:ind w:right="105"/>
                    <w:jc w:val="left"/>
                  </w:pPr>
                  <w:r>
                    <w:rPr>
                      <w:rFonts w:ascii="仿宋_GB2312" w:hAnsi="仿宋_GB2312" w:cs="仿宋_GB2312" w:eastAsia="仿宋_GB2312"/>
                      <w:sz w:val="24"/>
                      <w:color w:val="000000"/>
                    </w:rPr>
                    <w:t>★13、账号管理体系</w:t>
                  </w:r>
                </w:p>
                <w:p>
                  <w:pPr>
                    <w:pStyle w:val="null3"/>
                    <w:ind w:right="105" w:firstLine="480"/>
                    <w:jc w:val="left"/>
                  </w:pPr>
                  <w:r>
                    <w:rPr>
                      <w:rFonts w:ascii="仿宋_GB2312" w:hAnsi="仿宋_GB2312" w:cs="仿宋_GB2312" w:eastAsia="仿宋_GB2312"/>
                      <w:sz w:val="24"/>
                      <w:color w:val="000000"/>
                    </w:rPr>
                    <w:t>系统需提供完善的账号生命周期管理功能，支持账号创建、编辑、启用与停用等操作。（请提供该功能的操作界面截图或证明材料以佐证其技术实现性）</w:t>
                  </w:r>
                </w:p>
                <w:p>
                  <w:pPr>
                    <w:pStyle w:val="null3"/>
                    <w:ind w:right="105"/>
                    <w:jc w:val="left"/>
                  </w:pPr>
                  <w:r>
                    <w:rPr>
                      <w:rFonts w:ascii="仿宋_GB2312" w:hAnsi="仿宋_GB2312" w:cs="仿宋_GB2312" w:eastAsia="仿宋_GB2312"/>
                      <w:sz w:val="24"/>
                      <w:color w:val="000000"/>
                    </w:rPr>
                    <w:t>★14、数据隔离存储</w:t>
                  </w:r>
                </w:p>
                <w:p>
                  <w:pPr>
                    <w:pStyle w:val="null3"/>
                    <w:ind w:right="105" w:firstLine="480"/>
                    <w:jc w:val="left"/>
                  </w:pPr>
                  <w:r>
                    <w:rPr>
                      <w:rFonts w:ascii="仿宋_GB2312" w:hAnsi="仿宋_GB2312" w:cs="仿宋_GB2312" w:eastAsia="仿宋_GB2312"/>
                      <w:sz w:val="24"/>
                      <w:color w:val="000000"/>
                    </w:rPr>
                    <w:t>不同账号的数据（包括转写记录、文字文件、录音文件等）均独立存储于系统中，互不干扰，从技术层面实现数据隔离。（请提供该功能的操作界面截图或证明材料以佐证其技术实现性）</w:t>
                  </w:r>
                </w:p>
                <w:p>
                  <w:pPr>
                    <w:pStyle w:val="null3"/>
                    <w:ind w:right="105"/>
                    <w:jc w:val="left"/>
                  </w:pPr>
                  <w:r>
                    <w:rPr>
                      <w:rFonts w:ascii="仿宋_GB2312" w:hAnsi="仿宋_GB2312" w:cs="仿宋_GB2312" w:eastAsia="仿宋_GB2312"/>
                      <w:sz w:val="24"/>
                      <w:color w:val="000000"/>
                    </w:rPr>
                    <w:t>15离线语音转写</w:t>
                  </w:r>
                </w:p>
                <w:p>
                  <w:pPr>
                    <w:pStyle w:val="null3"/>
                    <w:ind w:right="105" w:firstLine="480"/>
                    <w:jc w:val="left"/>
                  </w:pPr>
                  <w:r>
                    <w:rPr>
                      <w:rFonts w:ascii="仿宋_GB2312" w:hAnsi="仿宋_GB2312" w:cs="仿宋_GB2312" w:eastAsia="仿宋_GB2312"/>
                      <w:sz w:val="24"/>
                      <w:color w:val="000000"/>
                    </w:rPr>
                    <w:t>系统核心功能需支持离线运行，语音识别、转写、记录管理等关键流程均可在本地完成。（请提供该功能的操作界面截图或证明材料以佐证其技术实现性）</w:t>
                  </w:r>
                </w:p>
                <w:p>
                  <w:pPr>
                    <w:pStyle w:val="null3"/>
                    <w:ind w:right="105"/>
                    <w:jc w:val="left"/>
                  </w:pPr>
                  <w:r>
                    <w:rPr>
                      <w:rFonts w:ascii="仿宋_GB2312" w:hAnsi="仿宋_GB2312" w:cs="仿宋_GB2312" w:eastAsia="仿宋_GB2312"/>
                      <w:sz w:val="24"/>
                      <w:color w:val="000000"/>
                    </w:rPr>
                    <w:t>16、AI算法能力</w:t>
                  </w:r>
                </w:p>
                <w:p>
                  <w:pPr>
                    <w:pStyle w:val="null3"/>
                    <w:ind w:right="105" w:firstLine="480"/>
                    <w:jc w:val="left"/>
                  </w:pPr>
                  <w:r>
                    <w:rPr>
                      <w:rFonts w:ascii="仿宋_GB2312" w:hAnsi="仿宋_GB2312" w:cs="仿宋_GB2312" w:eastAsia="仿宋_GB2312"/>
                      <w:sz w:val="24"/>
                      <w:color w:val="000000"/>
                    </w:rPr>
                    <w:t>系统自主研发的语言处理模型框架，持续开展语音识别、自然语言理解、关键词提取等</w:t>
                  </w:r>
                  <w:r>
                    <w:rPr>
                      <w:rFonts w:ascii="仿宋_GB2312" w:hAnsi="仿宋_GB2312" w:cs="仿宋_GB2312" w:eastAsia="仿宋_GB2312"/>
                      <w:sz w:val="24"/>
                      <w:color w:val="000000"/>
                    </w:rPr>
                    <w:t>AI算法的训练与优化工作。</w:t>
                  </w:r>
                </w:p>
                <w:p>
                  <w:pPr>
                    <w:pStyle w:val="null3"/>
                    <w:ind w:right="105"/>
                    <w:jc w:val="left"/>
                  </w:pPr>
                  <w:r>
                    <w:rPr>
                      <w:rFonts w:ascii="仿宋_GB2312" w:hAnsi="仿宋_GB2312" w:cs="仿宋_GB2312" w:eastAsia="仿宋_GB2312"/>
                      <w:sz w:val="24"/>
                      <w:color w:val="000000"/>
                    </w:rPr>
                    <w:t>★17、参会人声纹注册与管理</w:t>
                  </w:r>
                </w:p>
                <w:p>
                  <w:pPr>
                    <w:pStyle w:val="null3"/>
                    <w:ind w:right="105" w:firstLine="480"/>
                    <w:jc w:val="left"/>
                  </w:pPr>
                  <w:r>
                    <w:rPr>
                      <w:rFonts w:ascii="仿宋_GB2312" w:hAnsi="仿宋_GB2312" w:cs="仿宋_GB2312" w:eastAsia="仿宋_GB2312"/>
                      <w:sz w:val="24"/>
                      <w:color w:val="000000"/>
                    </w:rPr>
                    <w:t>系统需支持无限量创建参会人员档案，管理人员可通过语音样本完成声纹特征的注册与录入。系统采用高精度声纹特征提取技术自动构建每位参会人的专属声纹模型，确保模型的唯一性与抗干扰能力。声纹特征提取、模型训练及比对均在本地设备完成，无需上传云端，规避数据泄露风险。（请提供该功能的操作界面截图或证明材料以佐证其技术实现性）</w:t>
                  </w:r>
                </w:p>
                <w:p>
                  <w:pPr>
                    <w:pStyle w:val="null3"/>
                    <w:ind w:right="105"/>
                    <w:jc w:val="left"/>
                  </w:pPr>
                  <w:r>
                    <w:rPr>
                      <w:rFonts w:ascii="仿宋_GB2312" w:hAnsi="仿宋_GB2312" w:cs="仿宋_GB2312" w:eastAsia="仿宋_GB2312"/>
                      <w:sz w:val="24"/>
                      <w:color w:val="000000"/>
                    </w:rPr>
                    <w:t>18、实时声纹身份识别与角色匹配</w:t>
                  </w:r>
                </w:p>
                <w:p>
                  <w:pPr>
                    <w:pStyle w:val="null3"/>
                    <w:ind w:right="105" w:firstLine="480"/>
                    <w:jc w:val="left"/>
                  </w:pPr>
                  <w:r>
                    <w:rPr>
                      <w:rFonts w:ascii="仿宋_GB2312" w:hAnsi="仿宋_GB2312" w:cs="仿宋_GB2312" w:eastAsia="仿宋_GB2312"/>
                      <w:sz w:val="24"/>
                      <w:color w:val="000000"/>
                    </w:rPr>
                    <w:t>会议开始后，参会人员仅需通过自然发言，系统将实时捕捉发言者的声纹特征，并与预注册声纹模型进行智能比对。系统将自动匹配注册身份并实时展示对应人员的语音转写文本，同时每个语音片段均标注精确起始时间戳，实现会议发言内容与身份的精准关联。</w:t>
                  </w:r>
                </w:p>
                <w:p>
                  <w:pPr>
                    <w:pStyle w:val="null3"/>
                    <w:ind w:right="105"/>
                    <w:jc w:val="left"/>
                  </w:pPr>
                  <w:r>
                    <w:rPr>
                      <w:rFonts w:ascii="仿宋_GB2312" w:hAnsi="仿宋_GB2312" w:cs="仿宋_GB2312" w:eastAsia="仿宋_GB2312"/>
                      <w:sz w:val="24"/>
                      <w:color w:val="000000"/>
                    </w:rPr>
                    <w:t>19、麦克风适配性</w:t>
                  </w:r>
                </w:p>
                <w:p>
                  <w:pPr>
                    <w:pStyle w:val="null3"/>
                    <w:ind w:right="105" w:firstLine="480"/>
                    <w:jc w:val="left"/>
                  </w:pPr>
                  <w:r>
                    <w:rPr>
                      <w:rFonts w:ascii="仿宋_GB2312" w:hAnsi="仿宋_GB2312" w:cs="仿宋_GB2312" w:eastAsia="仿宋_GB2312"/>
                      <w:sz w:val="24"/>
                      <w:color w:val="000000"/>
                    </w:rPr>
                    <w:t>系统广泛兼容市面上主流品牌的有线、无线麦克风设备，支持多种音频接口类型。</w:t>
                  </w:r>
                </w:p>
                <w:p>
                  <w:pPr>
                    <w:pStyle w:val="null3"/>
                    <w:ind w:right="105"/>
                    <w:jc w:val="left"/>
                  </w:pPr>
                  <w:r>
                    <w:rPr>
                      <w:rFonts w:ascii="仿宋_GB2312" w:hAnsi="仿宋_GB2312" w:cs="仿宋_GB2312" w:eastAsia="仿宋_GB2312"/>
                      <w:sz w:val="24"/>
                      <w:color w:val="000000"/>
                    </w:rPr>
                    <w:t>20、AI会议纪要</w:t>
                  </w:r>
                </w:p>
                <w:p>
                  <w:pPr>
                    <w:pStyle w:val="null3"/>
                    <w:ind w:right="105" w:firstLine="480"/>
                    <w:jc w:val="left"/>
                  </w:pPr>
                  <w:r>
                    <w:rPr>
                      <w:rFonts w:ascii="仿宋_GB2312" w:hAnsi="仿宋_GB2312" w:cs="仿宋_GB2312" w:eastAsia="仿宋_GB2312"/>
                      <w:sz w:val="24"/>
                      <w:color w:val="000000"/>
                    </w:rPr>
                    <w:t>系统具备自动解析会议内容并生成会议纪要的功能，能够高效提炼会议主题与关键要点，便于后续回顾与执行跟踪。</w:t>
                  </w:r>
                </w:p>
                <w:p>
                  <w:pPr>
                    <w:pStyle w:val="null3"/>
                    <w:ind w:right="105"/>
                    <w:jc w:val="left"/>
                  </w:pPr>
                  <w:r>
                    <w:rPr>
                      <w:rFonts w:ascii="仿宋_GB2312" w:hAnsi="仿宋_GB2312" w:cs="仿宋_GB2312" w:eastAsia="仿宋_GB2312"/>
                      <w:sz w:val="24"/>
                      <w:color w:val="000000"/>
                    </w:rPr>
                    <w:t>21、语音转文字功能</w:t>
                  </w:r>
                </w:p>
                <w:p>
                  <w:pPr>
                    <w:pStyle w:val="null3"/>
                    <w:ind w:right="105" w:firstLine="480"/>
                    <w:jc w:val="left"/>
                  </w:pPr>
                  <w:r>
                    <w:rPr>
                      <w:rFonts w:ascii="仿宋_GB2312" w:hAnsi="仿宋_GB2312" w:cs="仿宋_GB2312" w:eastAsia="仿宋_GB2312"/>
                      <w:sz w:val="24"/>
                      <w:color w:val="000000"/>
                    </w:rPr>
                    <w:t>系统需支持从本地设备导入语音文件，并基于本地部署的语音识别型对音频内容进行高效转写，自动生成结构化文本文件。</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工程实施</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包含会议室设备迁移、视频线路改线、加装设备调试人工费用</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r>
                    <w:rPr>
                      <w:rFonts w:ascii="仿宋_GB2312" w:hAnsi="仿宋_GB2312" w:cs="仿宋_GB2312" w:eastAsia="仿宋_GB2312"/>
                      <w:sz w:val="24"/>
                      <w:color w:val="000000"/>
                    </w:rPr>
                    <w:t>/天</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辅材</w:t>
                  </w:r>
                </w:p>
              </w:tc>
              <w:tc>
                <w:tcPr>
                  <w:tcW w:type="dxa" w:w="2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网络、卡槽、线管、电井设备架、配线架、光纤收发器等</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、数字链路清单</w:t>
            </w:r>
          </w:p>
          <w:tbl>
            <w:tblPr>
              <w:tblBorders>
                <w:top w:val="none" w:color="000000" w:sz="4"/>
                <w:left w:val="none" w:color="000000" w:sz="4"/>
                <w:bottom w:val="none" w:color="000000" w:sz="4"/>
                <w:right w:val="none" w:color="000000" w:sz="4"/>
                <w:insideH w:val="none"/>
                <w:insideV w:val="none"/>
              </w:tblBorders>
            </w:tblPr>
            <w:tblGrid>
              <w:gridCol w:w="177"/>
              <w:gridCol w:w="210"/>
              <w:gridCol w:w="210"/>
              <w:gridCol w:w="181"/>
              <w:gridCol w:w="206"/>
              <w:gridCol w:w="1552"/>
            </w:tblGrid>
            <w:tr>
              <w:tc>
                <w:tcPr>
                  <w:tcW w:type="dxa" w:w="177"/>
                  <w:tcBorders>
                    <w:top w:val="single" w:color="000000" w:sz="4"/>
                    <w:left w:val="single" w:color="000000" w:sz="4"/>
                    <w:bottom w:val="single" w:color="000000" w:sz="4"/>
                    <w:right w:val="single" w:color="000000" w:sz="4"/>
                  </w:tcBorders>
                  <w:shd w:fill="5B9BD5"/>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210"/>
                  <w:tcBorders>
                    <w:top w:val="single" w:color="000000" w:sz="4"/>
                    <w:left w:val="none" w:color="000000" w:sz="4"/>
                    <w:bottom w:val="single" w:color="000000" w:sz="4"/>
                    <w:right w:val="single" w:color="000000" w:sz="4"/>
                  </w:tcBorders>
                  <w:shd w:fill="5B9BD5"/>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210"/>
                  <w:tcBorders>
                    <w:top w:val="single" w:color="000000" w:sz="4"/>
                    <w:left w:val="none" w:color="000000" w:sz="4"/>
                    <w:bottom w:val="single" w:color="000000" w:sz="4"/>
                    <w:right w:val="single" w:color="000000" w:sz="4"/>
                  </w:tcBorders>
                  <w:shd w:fill="5B9BD5"/>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本端</w:t>
                  </w:r>
                </w:p>
              </w:tc>
              <w:tc>
                <w:tcPr>
                  <w:tcW w:type="dxa" w:w="181"/>
                  <w:tcBorders>
                    <w:top w:val="single" w:color="000000" w:sz="4"/>
                    <w:left w:val="none" w:color="000000" w:sz="4"/>
                    <w:bottom w:val="single" w:color="000000" w:sz="4"/>
                    <w:right w:val="single" w:color="000000" w:sz="4"/>
                  </w:tcBorders>
                  <w:shd w:fill="5B9BD5"/>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对端</w:t>
                  </w:r>
                </w:p>
              </w:tc>
              <w:tc>
                <w:tcPr>
                  <w:tcW w:type="dxa" w:w="206"/>
                  <w:tcBorders>
                    <w:top w:val="single" w:color="000000" w:sz="4"/>
                    <w:left w:val="none" w:color="000000" w:sz="4"/>
                    <w:bottom w:val="single" w:color="000000" w:sz="4"/>
                    <w:right w:val="single" w:color="000000" w:sz="4"/>
                  </w:tcBorders>
                  <w:shd w:fill="5B9BD5"/>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宽带</w:t>
                  </w:r>
                </w:p>
              </w:tc>
              <w:tc>
                <w:tcPr>
                  <w:tcW w:type="dxa" w:w="1552"/>
                  <w:tcBorders>
                    <w:top w:val="single" w:color="000000" w:sz="4"/>
                    <w:left w:val="none" w:color="000000" w:sz="4"/>
                    <w:bottom w:val="single" w:color="000000" w:sz="4"/>
                    <w:right w:val="single" w:color="000000" w:sz="4"/>
                  </w:tcBorders>
                  <w:shd w:fill="5B9BD5"/>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参数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工作网数字链路</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兰池大厦</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曲江监狱</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50M</w:t>
                  </w:r>
                </w:p>
              </w:tc>
              <w:tc>
                <w:tcPr>
                  <w:tcW w:type="dxa" w:w="155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1、1条带宽速率50M互联网专线</w:t>
                  </w:r>
                </w:p>
                <w:p>
                  <w:pPr>
                    <w:pStyle w:val="null3"/>
                    <w:ind w:firstLine="480"/>
                    <w:jc w:val="both"/>
                  </w:pPr>
                  <w:r>
                    <w:rPr>
                      <w:rFonts w:ascii="仿宋_GB2312" w:hAnsi="仿宋_GB2312" w:cs="仿宋_GB2312" w:eastAsia="仿宋_GB2312"/>
                      <w:sz w:val="24"/>
                      <w:color w:val="000000"/>
                    </w:rPr>
                    <w:t>2、提供32个有效IPv4地址。</w:t>
                  </w:r>
                </w:p>
                <w:p>
                  <w:pPr>
                    <w:pStyle w:val="null3"/>
                    <w:ind w:firstLine="480"/>
                    <w:jc w:val="both"/>
                  </w:pPr>
                  <w:r>
                    <w:rPr>
                      <w:rFonts w:ascii="仿宋_GB2312" w:hAnsi="仿宋_GB2312" w:cs="仿宋_GB2312" w:eastAsia="仿宋_GB2312"/>
                      <w:sz w:val="24"/>
                      <w:color w:val="000000"/>
                    </w:rPr>
                    <w:t>3、线路性能:所提供的光纤线路，用波长为1310nm进行测试时损耗应小于0.30dB/公里(包括接头损耗):用波长为1550nm进行测试时，损耗应小于0.25dB/公里。线路的障碍次数要求不大于0.2次/百公里/年，访问互联网站的平均网络延迟小于50ms，从ISP局端到中心掉包率少于万分之三，故障历时不大于2小时。</w:t>
                  </w:r>
                </w:p>
                <w:p>
                  <w:pPr>
                    <w:pStyle w:val="null3"/>
                    <w:ind w:firstLine="480"/>
                    <w:jc w:val="both"/>
                  </w:pPr>
                  <w:r>
                    <w:rPr>
                      <w:rFonts w:ascii="仿宋_GB2312" w:hAnsi="仿宋_GB2312" w:cs="仿宋_GB2312" w:eastAsia="仿宋_GB2312"/>
                      <w:sz w:val="24"/>
                      <w:color w:val="000000"/>
                    </w:rPr>
                    <w:t>4、线路带宽、接口标准和连接要求:互联网总出口达到:50M上行，50M下行;接口采用10G单模光口标准，具体以单位实际情况为准，需直接接入客户的防火墙或交换机等网络设备;</w:t>
                  </w:r>
                </w:p>
                <w:p>
                  <w:pPr>
                    <w:pStyle w:val="null3"/>
                    <w:ind w:firstLine="480"/>
                    <w:jc w:val="both"/>
                  </w:pPr>
                  <w:r>
                    <w:rPr>
                      <w:rFonts w:ascii="仿宋_GB2312" w:hAnsi="仿宋_GB2312" w:cs="仿宋_GB2312" w:eastAsia="仿宋_GB2312"/>
                      <w:sz w:val="24"/>
                      <w:color w:val="000000"/>
                    </w:rPr>
                    <w:t>所有裸光纤接口标准以单位实际情况为准。线路的带宽具备可升级可扩容性能。</w:t>
                  </w:r>
                </w:p>
                <w:p>
                  <w:pPr>
                    <w:pStyle w:val="null3"/>
                    <w:ind w:firstLine="480"/>
                    <w:jc w:val="both"/>
                  </w:pPr>
                  <w:r>
                    <w:rPr>
                      <w:rFonts w:ascii="仿宋_GB2312" w:hAnsi="仿宋_GB2312" w:cs="仿宋_GB2312" w:eastAsia="仿宋_GB2312"/>
                      <w:sz w:val="24"/>
                      <w:color w:val="000000"/>
                    </w:rPr>
                    <w:t>5、互联网技术指标:互联网专线应当通畅并符合相关的国家标准，接入端到局端平均时延(ms)≤40ms，接入端到局端平均丢包率(%)≤0.75 %，到达运营商骨干网 Hop 数≤4。必须满足上下行对等，并同时满足速率要求，互联网出口线路需从用户网络访问设在城域网上的测速站点实际测试速率不小于要求速率。客户网络到宽带服务商的 DNS 时延小于 10ms。互联网专线带宽必须确保带宽独享。</w:t>
                  </w:r>
                </w:p>
                <w:p>
                  <w:pPr>
                    <w:pStyle w:val="null3"/>
                    <w:ind w:firstLine="480"/>
                    <w:jc w:val="both"/>
                  </w:pPr>
                  <w:r>
                    <w:rPr>
                      <w:rFonts w:ascii="仿宋_GB2312" w:hAnsi="仿宋_GB2312" w:cs="仿宋_GB2312" w:eastAsia="仿宋_GB2312"/>
                      <w:sz w:val="24"/>
                      <w:color w:val="000000"/>
                    </w:rPr>
                    <w:t>6、线路可用性指标:线路可用率&gt;99.9%。业务恢复时限≤4小时;客户网络到宽带服务商的 DNS 丢包率为0;单条端到端电路故障率≤1 次/4 个月，所有线路累计故障≤4 次/1 个月。</w:t>
                  </w:r>
                </w:p>
                <w:p>
                  <w:pPr>
                    <w:pStyle w:val="null3"/>
                    <w:ind w:firstLine="480"/>
                    <w:jc w:val="both"/>
                  </w:pPr>
                  <w:r>
                    <w:rPr>
                      <w:rFonts w:ascii="仿宋_GB2312" w:hAnsi="仿宋_GB2312" w:cs="仿宋_GB2312" w:eastAsia="仿宋_GB2312"/>
                      <w:sz w:val="24"/>
                      <w:color w:val="000000"/>
                    </w:rPr>
                    <w:t>7、线路可靠性和冗余:需确保线路具备一定的几余调节能力用于故障和查修的调度。</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兼容</w:t>
                  </w:r>
                  <w:r>
                    <w:rPr>
                      <w:rFonts w:ascii="仿宋_GB2312" w:hAnsi="仿宋_GB2312" w:cs="仿宋_GB2312" w:eastAsia="仿宋_GB2312"/>
                      <w:sz w:val="24"/>
                      <w:color w:val="000000"/>
                    </w:rPr>
                    <w:t>SDH、TDM、ATM、MSTP等传统网络结构并支持IPRAN新型网络结构，支持三层全部IP化传送与连接。</w:t>
                  </w:r>
                </w:p>
                <w:p>
                  <w:pPr>
                    <w:pStyle w:val="null3"/>
                    <w:ind w:firstLine="480"/>
                    <w:jc w:val="both"/>
                  </w:pPr>
                  <w:r>
                    <w:rPr>
                      <w:rFonts w:ascii="仿宋_GB2312" w:hAnsi="仿宋_GB2312" w:cs="仿宋_GB2312" w:eastAsia="仿宋_GB2312"/>
                      <w:sz w:val="24"/>
                      <w:color w:val="000000"/>
                    </w:rPr>
                    <w:t>9、网络稳定，</w:t>
                  </w:r>
                  <w:r>
                    <w:rPr>
                      <w:rFonts w:ascii="仿宋_GB2312" w:hAnsi="仿宋_GB2312" w:cs="仿宋_GB2312" w:eastAsia="仿宋_GB2312"/>
                      <w:sz w:val="24"/>
                      <w:color w:val="000000"/>
                    </w:rPr>
                    <w:t>保证各机房接入点网络正常并负责网络升级、维护等。每月度一次巡检。</w:t>
                  </w:r>
                </w:p>
                <w:p>
                  <w:pPr>
                    <w:pStyle w:val="null3"/>
                    <w:ind w:firstLine="480"/>
                    <w:jc w:val="both"/>
                  </w:pPr>
                  <w:r>
                    <w:rPr>
                      <w:rFonts w:ascii="仿宋_GB2312" w:hAnsi="仿宋_GB2312" w:cs="仿宋_GB2312" w:eastAsia="仿宋_GB2312"/>
                      <w:sz w:val="24"/>
                      <w:color w:val="C00000"/>
                    </w:rPr>
                    <w:t>★</w:t>
                  </w:r>
                  <w:r>
                    <w:rPr>
                      <w:rFonts w:ascii="仿宋_GB2312" w:hAnsi="仿宋_GB2312" w:cs="仿宋_GB2312" w:eastAsia="仿宋_GB2312"/>
                      <w:sz w:val="24"/>
                      <w:color w:val="000000"/>
                    </w:rPr>
                    <w:t>10、附第三方运营授权</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工作网数字链路</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兰池大厦</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曲江监狱</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50M</w:t>
                  </w:r>
                </w:p>
              </w:tc>
              <w:tc>
                <w:tcPr>
                  <w:tcW w:type="dxa" w:w="1552"/>
                  <w:vMerge/>
                  <w:tcBorders>
                    <w:top w:val="none" w:color="000000" w:sz="4"/>
                    <w:left w:val="none" w:color="000000" w:sz="4"/>
                    <w:bottom w:val="non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工作网数字链路</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兰池大厦</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西咸公安局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50M</w:t>
                  </w:r>
                </w:p>
              </w:tc>
              <w:tc>
                <w:tcPr>
                  <w:tcW w:type="dxa" w:w="1552"/>
                  <w:vMerge/>
                  <w:tcBorders>
                    <w:top w:val="none" w:color="000000" w:sz="4"/>
                    <w:left w:val="none" w:color="000000" w:sz="4"/>
                    <w:bottom w:val="none" w:color="000000" w:sz="4"/>
                    <w:right w:val="single" w:color="000000" w:sz="4"/>
                  </w:tcBorders>
                </w:tcP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视联网链路</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兰池大厦</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太白路机房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10M</w:t>
                  </w: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1、1条带宽速率10M互联网专线</w:t>
                  </w:r>
                </w:p>
                <w:p>
                  <w:pPr>
                    <w:pStyle w:val="null3"/>
                    <w:ind w:firstLine="480"/>
                    <w:jc w:val="both"/>
                  </w:pPr>
                  <w:r>
                    <w:rPr>
                      <w:rFonts w:ascii="仿宋_GB2312" w:hAnsi="仿宋_GB2312" w:cs="仿宋_GB2312" w:eastAsia="仿宋_GB2312"/>
                      <w:sz w:val="24"/>
                      <w:color w:val="000000"/>
                    </w:rPr>
                    <w:t>2、提供32个有效IPv4地址。</w:t>
                  </w:r>
                </w:p>
                <w:p>
                  <w:pPr>
                    <w:pStyle w:val="null3"/>
                    <w:ind w:firstLine="480"/>
                    <w:jc w:val="both"/>
                  </w:pPr>
                  <w:r>
                    <w:rPr>
                      <w:rFonts w:ascii="仿宋_GB2312" w:hAnsi="仿宋_GB2312" w:cs="仿宋_GB2312" w:eastAsia="仿宋_GB2312"/>
                      <w:sz w:val="24"/>
                      <w:color w:val="000000"/>
                    </w:rPr>
                    <w:t>3、线路性能:所提供的光纤线路，用波长为1310nm进行测试时损耗应小于0.30dB/公里(包括接头损耗):用波长为1550nm进行测试时，损耗应小于0.25dB/公里。线路的障碍次数要求不大于0.2次/百公里/年，访问互联网站的平均网络延迟小于50ms，从ISP局端到中心掉包率少于万分之三，故障历时不大于2小时。</w:t>
                  </w:r>
                </w:p>
                <w:p>
                  <w:pPr>
                    <w:pStyle w:val="null3"/>
                    <w:ind w:firstLine="480"/>
                    <w:jc w:val="both"/>
                  </w:pPr>
                  <w:r>
                    <w:rPr>
                      <w:rFonts w:ascii="仿宋_GB2312" w:hAnsi="仿宋_GB2312" w:cs="仿宋_GB2312" w:eastAsia="仿宋_GB2312"/>
                      <w:sz w:val="24"/>
                      <w:color w:val="000000"/>
                    </w:rPr>
                    <w:t>4、线路带宽、接口标准和连接要求:互联网总出口达到:10M上行，10M下行;接口采用10G单模光口标准，具体以单位实际情况为准，需直接接入客户的防火墙或交换机等网络设备;</w:t>
                  </w:r>
                </w:p>
                <w:p>
                  <w:pPr>
                    <w:pStyle w:val="null3"/>
                    <w:ind w:firstLine="480"/>
                    <w:jc w:val="both"/>
                  </w:pPr>
                  <w:r>
                    <w:rPr>
                      <w:rFonts w:ascii="仿宋_GB2312" w:hAnsi="仿宋_GB2312" w:cs="仿宋_GB2312" w:eastAsia="仿宋_GB2312"/>
                      <w:sz w:val="24"/>
                      <w:color w:val="000000"/>
                    </w:rPr>
                    <w:t>所有裸光纤接口标准以单位实际情况为准。线路的带宽具备可升级可扩容性能。</w:t>
                  </w:r>
                </w:p>
                <w:p>
                  <w:pPr>
                    <w:pStyle w:val="null3"/>
                    <w:ind w:firstLine="480"/>
                    <w:jc w:val="both"/>
                  </w:pPr>
                  <w:r>
                    <w:rPr>
                      <w:rFonts w:ascii="仿宋_GB2312" w:hAnsi="仿宋_GB2312" w:cs="仿宋_GB2312" w:eastAsia="仿宋_GB2312"/>
                      <w:sz w:val="24"/>
                      <w:color w:val="000000"/>
                    </w:rPr>
                    <w:t>5、互联网技术指标:互联网专线应当通畅并符合相关的国家标准，接入端到局端平均时延(ms)≤40ms，接入端到局端平均丢包率(%)≤0.75 %，到达运营商骨干网 Hop 数≤4。必须满足上下行对等，并同时满足速率要求，互联网出口线路需从用户网络访问设在城域网上的测速站点实际测试速率不小于要求速率。客户网络到宽带服务商的 DNS 时延小于 10ms。互联网专线带宽必须确保带宽独享。</w:t>
                  </w:r>
                </w:p>
                <w:p>
                  <w:pPr>
                    <w:pStyle w:val="null3"/>
                    <w:ind w:firstLine="480"/>
                    <w:jc w:val="both"/>
                  </w:pPr>
                  <w:r>
                    <w:rPr>
                      <w:rFonts w:ascii="仿宋_GB2312" w:hAnsi="仿宋_GB2312" w:cs="仿宋_GB2312" w:eastAsia="仿宋_GB2312"/>
                      <w:sz w:val="24"/>
                      <w:color w:val="000000"/>
                    </w:rPr>
                    <w:t>6、线路可用性指标:线路可用率&gt;99.9%。业务恢复时限≤4小时;客户网络到宽带服务商的 DNS 丢包率为0;单条端到端电路故障率≤1 次/4 个月，所有线路累计故障≤4 次/1 个月。</w:t>
                  </w:r>
                </w:p>
                <w:p>
                  <w:pPr>
                    <w:pStyle w:val="null3"/>
                    <w:ind w:firstLine="480"/>
                    <w:jc w:val="both"/>
                  </w:pPr>
                  <w:r>
                    <w:rPr>
                      <w:rFonts w:ascii="仿宋_GB2312" w:hAnsi="仿宋_GB2312" w:cs="仿宋_GB2312" w:eastAsia="仿宋_GB2312"/>
                      <w:sz w:val="24"/>
                      <w:color w:val="000000"/>
                    </w:rPr>
                    <w:t>7、线路可靠性和冗余:需确保线路具备一定的几余调节能力用于故障和查修的调度。</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兼容</w:t>
                  </w:r>
                  <w:r>
                    <w:rPr>
                      <w:rFonts w:ascii="仿宋_GB2312" w:hAnsi="仿宋_GB2312" w:cs="仿宋_GB2312" w:eastAsia="仿宋_GB2312"/>
                      <w:sz w:val="24"/>
                      <w:color w:val="000000"/>
                    </w:rPr>
                    <w:t>SDH、TDM、ATM、MSTP等传统网络结构并支持IPRAN新型网络结构，支持三层全部IP化传送与连接。</w:t>
                  </w:r>
                </w:p>
                <w:p>
                  <w:pPr>
                    <w:pStyle w:val="null3"/>
                    <w:ind w:firstLine="480"/>
                    <w:jc w:val="both"/>
                  </w:pPr>
                  <w:r>
                    <w:rPr>
                      <w:rFonts w:ascii="仿宋_GB2312" w:hAnsi="仿宋_GB2312" w:cs="仿宋_GB2312" w:eastAsia="仿宋_GB2312"/>
                      <w:sz w:val="24"/>
                      <w:color w:val="000000"/>
                    </w:rPr>
                    <w:t>9、网络稳定，</w:t>
                  </w:r>
                  <w:r>
                    <w:rPr>
                      <w:rFonts w:ascii="仿宋_GB2312" w:hAnsi="仿宋_GB2312" w:cs="仿宋_GB2312" w:eastAsia="仿宋_GB2312"/>
                      <w:sz w:val="24"/>
                      <w:color w:val="000000"/>
                    </w:rPr>
                    <w:t>保证各机房接入点网络正常并负责网络升级、维护等。每月度一次巡检。</w:t>
                  </w:r>
                </w:p>
                <w:p>
                  <w:pPr>
                    <w:pStyle w:val="null3"/>
                    <w:ind w:firstLine="480"/>
                    <w:jc w:val="both"/>
                  </w:pPr>
                  <w:r>
                    <w:rPr>
                      <w:rFonts w:ascii="仿宋_GB2312" w:hAnsi="仿宋_GB2312" w:cs="仿宋_GB2312" w:eastAsia="仿宋_GB2312"/>
                      <w:sz w:val="24"/>
                      <w:color w:val="C00000"/>
                    </w:rPr>
                    <w:t>★</w:t>
                  </w:r>
                  <w:r>
                    <w:rPr>
                      <w:rFonts w:ascii="仿宋_GB2312" w:hAnsi="仿宋_GB2312" w:cs="仿宋_GB2312" w:eastAsia="仿宋_GB2312"/>
                      <w:sz w:val="24"/>
                      <w:color w:val="000000"/>
                    </w:rPr>
                    <w:t>10、附第三方运营授权</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、会议室设备</w:t>
            </w:r>
          </w:p>
          <w:tbl>
            <w:tblPr>
              <w:tblBorders>
                <w:top w:val="none" w:color="000000" w:sz="4"/>
                <w:left w:val="none" w:color="000000" w:sz="4"/>
                <w:bottom w:val="none" w:color="000000" w:sz="4"/>
                <w:right w:val="none" w:color="000000" w:sz="4"/>
                <w:insideH w:val="none"/>
                <w:insideV w:val="none"/>
              </w:tblBorders>
            </w:tblPr>
            <w:tblGrid>
              <w:gridCol w:w="544"/>
              <w:gridCol w:w="1287"/>
              <w:gridCol w:w="464"/>
              <w:gridCol w:w="890"/>
            </w:tblGrid>
            <w:tr>
              <w:tc>
                <w:tcPr>
                  <w:tcW w:type="dxa" w:w="544"/>
                  <w:tcBorders>
                    <w:top w:val="single" w:color="000000" w:sz="4"/>
                    <w:left w:val="single" w:color="000000" w:sz="4"/>
                    <w:bottom w:val="single" w:color="000000" w:sz="4"/>
                    <w:right w:val="single" w:color="000000" w:sz="4"/>
                  </w:tcBorders>
                  <w:shd w:fill="5B9BD5"/>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1287"/>
                  <w:tcBorders>
                    <w:top w:val="single" w:color="000000" w:sz="4"/>
                    <w:left w:val="none" w:color="000000" w:sz="4"/>
                    <w:bottom w:val="single" w:color="000000" w:sz="4"/>
                    <w:right w:val="single" w:color="000000" w:sz="4"/>
                  </w:tcBorders>
                  <w:shd w:fill="5B9BD5"/>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类目</w:t>
                  </w:r>
                </w:p>
              </w:tc>
              <w:tc>
                <w:tcPr>
                  <w:tcW w:type="dxa" w:w="464"/>
                  <w:tcBorders>
                    <w:top w:val="single" w:color="000000" w:sz="4"/>
                    <w:left w:val="none" w:color="000000" w:sz="4"/>
                    <w:bottom w:val="single" w:color="000000" w:sz="4"/>
                    <w:right w:val="single" w:color="000000" w:sz="4"/>
                  </w:tcBorders>
                  <w:shd w:fill="5B9BD5"/>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890"/>
                  <w:tcBorders>
                    <w:top w:val="single" w:color="000000" w:sz="4"/>
                    <w:left w:val="none" w:color="000000" w:sz="4"/>
                    <w:bottom w:val="single" w:color="000000" w:sz="4"/>
                    <w:right w:val="single" w:color="000000" w:sz="4"/>
                  </w:tcBorders>
                  <w:shd w:fill="5B9BD5"/>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手拉手无线麦克风</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r>
            <w:tr>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音柱</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反馈抑制器</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电源时序器</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实时语音转写系统</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工程实施</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r>
                    <w:rPr>
                      <w:rFonts w:ascii="仿宋_GB2312" w:hAnsi="仿宋_GB2312" w:cs="仿宋_GB2312" w:eastAsia="仿宋_GB2312"/>
                      <w:sz w:val="22"/>
                      <w:color w:val="000000"/>
                    </w:rPr>
                    <w:t>/天</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辅材</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bl>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、数字链路清单</w:t>
            </w:r>
          </w:p>
          <w:tbl>
            <w:tblPr>
              <w:tblBorders>
                <w:top w:val="none" w:color="000000" w:sz="4"/>
                <w:left w:val="none" w:color="000000" w:sz="4"/>
                <w:bottom w:val="none" w:color="000000" w:sz="4"/>
                <w:right w:val="none" w:color="000000" w:sz="4"/>
                <w:insideH w:val="none"/>
                <w:insideV w:val="none"/>
              </w:tblBorders>
            </w:tblPr>
            <w:tblGrid>
              <w:gridCol w:w="540"/>
              <w:gridCol w:w="793"/>
              <w:gridCol w:w="620"/>
              <w:gridCol w:w="594"/>
              <w:gridCol w:w="632"/>
            </w:tblGrid>
            <w:tr>
              <w:tc>
                <w:tcPr>
                  <w:tcW w:type="dxa" w:w="540"/>
                  <w:tcBorders>
                    <w:top w:val="single" w:color="000000" w:sz="4"/>
                    <w:left w:val="single" w:color="000000" w:sz="4"/>
                    <w:bottom w:val="single" w:color="000000" w:sz="4"/>
                    <w:right w:val="single" w:color="000000" w:sz="4"/>
                  </w:tcBorders>
                  <w:shd w:fill="5B9BD5"/>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793"/>
                  <w:tcBorders>
                    <w:top w:val="single" w:color="000000" w:sz="4"/>
                    <w:left w:val="none" w:color="000000" w:sz="4"/>
                    <w:bottom w:val="single" w:color="000000" w:sz="4"/>
                    <w:right w:val="single" w:color="000000" w:sz="4"/>
                  </w:tcBorders>
                  <w:shd w:fill="5B9BD5"/>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FFFFFF"/>
                    </w:rPr>
                    <w:t>名称</w:t>
                  </w:r>
                </w:p>
              </w:tc>
              <w:tc>
                <w:tcPr>
                  <w:tcW w:type="dxa" w:w="620"/>
                  <w:tcBorders>
                    <w:top w:val="single" w:color="000000" w:sz="4"/>
                    <w:left w:val="none" w:color="000000" w:sz="4"/>
                    <w:bottom w:val="single" w:color="000000" w:sz="4"/>
                    <w:right w:val="single" w:color="000000" w:sz="4"/>
                  </w:tcBorders>
                  <w:shd w:fill="5B9BD5"/>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FFFFFF"/>
                    </w:rPr>
                    <w:t>本端</w:t>
                  </w:r>
                </w:p>
              </w:tc>
              <w:tc>
                <w:tcPr>
                  <w:tcW w:type="dxa" w:w="594"/>
                  <w:tcBorders>
                    <w:top w:val="single" w:color="000000" w:sz="4"/>
                    <w:left w:val="none" w:color="000000" w:sz="4"/>
                    <w:bottom w:val="single" w:color="000000" w:sz="4"/>
                    <w:right w:val="single" w:color="000000" w:sz="4"/>
                  </w:tcBorders>
                  <w:shd w:fill="5B9BD5"/>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FFFFFF"/>
                    </w:rPr>
                    <w:t>对端</w:t>
                  </w:r>
                </w:p>
              </w:tc>
              <w:tc>
                <w:tcPr>
                  <w:tcW w:type="dxa" w:w="632"/>
                  <w:tcBorders>
                    <w:top w:val="single" w:color="000000" w:sz="4"/>
                    <w:left w:val="none" w:color="000000" w:sz="4"/>
                    <w:bottom w:val="single" w:color="000000" w:sz="4"/>
                    <w:right w:val="single" w:color="000000" w:sz="4"/>
                  </w:tcBorders>
                  <w:shd w:fill="5B9BD5"/>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FFFFFF"/>
                    </w:rPr>
                    <w:t>宽带</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工作网数字链路</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兰池大厦</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曲江监狱</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50M</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工作网数字链路</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兰池大厦</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曲江监狱</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50M</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工作网数字链路</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兰池大厦</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西咸公安局</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50M</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视联网链路</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兰池大厦</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太白路机房</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10M</w:t>
                  </w:r>
                </w:p>
              </w:tc>
            </w:tr>
          </w:tbl>
          <w:p>
            <w:pPr>
              <w:pStyle w:val="null3"/>
            </w:pPr>
            <w:r>
              <w:rPr>
                <w:rFonts w:ascii="仿宋_GB2312" w:hAnsi="仿宋_GB2312" w:cs="仿宋_GB2312" w:eastAsia="仿宋_GB2312"/>
                <w:sz w:val="24"/>
                <w:color w:val="C00000"/>
              </w:rPr>
              <w:t>注：本章中加</w:t>
            </w:r>
            <w:r>
              <w:rPr>
                <w:rFonts w:ascii="仿宋_GB2312" w:hAnsi="仿宋_GB2312" w:cs="仿宋_GB2312" w:eastAsia="仿宋_GB2312"/>
                <w:sz w:val="24"/>
                <w:color w:val="C00000"/>
              </w:rPr>
              <w:t>“★”条款为实质性条款，出现负偏离或未响应，将按照无效投标处理。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自合同签订后40工作日,完成本项目的全部内容并交付采购人验收合格。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设备到货并完成安装调试后10个工作日</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甲方验收完成后10个工作日内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质保期满后10个工作日</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供应商共同对项目整体进行验收。其内容包括确认设备(产品)的产地、规格、型号和数量，对其设备(产品)技术指标、性能参数以及工程质量是否达到现行国家有关验收规范“合格”标准进行逐项检查。 1.所验设备(产品)的指标、性能参数通过验收达不到招标文件承诺的，或在使用中发现采购人不能容忍的缺陷等，将视为设备(产品)验收不合格，供应商应无条件免费更换或退货。 2.若发现供应商有弄虚作假的，在招投标阶段故意或随意夸大设备(产品)技术性能，供应商应无条件退货，并赔偿采购人相应的损失。 3.验收标准：按投标文件、澄清函等技术指标进行验收。各项指标均应符合验收标准及要求。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1、设备整机的质保期为验收合格后12个月。自验收合格、签字之日开始计算。 2、在质保期内，设备供应商无偿提供设备维护和更换零部件，接到采购人通知后，2小时内做出响应，24小时内必须保证设备恢复正常运行。 3、主要部件和主体结构出现故障维修，整机质保期自修理完成，恢复使用之日开始重新计算（24个月）。 4、在质量保证期到期之前供应商派专门的售后服务人员一周内对设备进行一次全面的维护保养，保证符合设备完好使用标准。 5、中标单位负责运输、安装、调试，在未交付前出现的所有问题由中标单位负责。</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1.甲方逾期向乙方支付合同价款，每逾期一日，应向乙方支付应付而未付合同价款的0.1%的违约金。 2.乙方未按合同约定按时向甲方交付商品的，每逾期一日，应向甲方未交付商品合同价款3%的违约金。 3.因乙方交付的商品存在质量问题或隐蔽瑕疵、权属上的瑕疵或知识产权争议的，乙方应向甲方支付该商品合同价款的10%作为违约金，违约金不足以补偿甲方损失的，乙方还应赔偿甲方由此造成的损失。 4.任何一方未履行本合同项下的条款均被视为违约。除因不可抗力（即因地震、火灾等自然灾害、战争、罢工、停电、政府和军队行为等）造成合同无法履行外，任何一方不得单方面中止合同。 5.任何一方违反合同所规定条款，均构成违约，违约方必须承担由此给对方造成的经济损失。 6.因乙方项目质量而造成的活动失败，乙方负责由此造成的损失。 依据《中华人民共和国民法典》、《中华人民共和国政府采购法》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提供法定代表人授权书（附法定代表人、被授权人身份证复印件并加盖公章）（法定代表人直接参加投标，须提供法定代表人身份证明及身份证复印件并加盖公章）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经会计师事务所审计的2024年完整的财务审计报告（至少包括资产负债表和利润表，成立时间至提交投标文件截止时间不足一年的可提供成立后任意时段的资产负债表）；或其开标前半年内基本存款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w:t>
            </w:r>
          </w:p>
        </w:tc>
        <w:tc>
          <w:tcPr>
            <w:tcW w:type="dxa" w:w="3322"/>
          </w:tcPr>
          <w:p>
            <w:pPr>
              <w:pStyle w:val="null3"/>
            </w:pPr>
            <w:r>
              <w:rPr>
                <w:rFonts w:ascii="仿宋_GB2312" w:hAnsi="仿宋_GB2312" w:cs="仿宋_GB2312" w:eastAsia="仿宋_GB2312"/>
              </w:rPr>
              <w:t>提供投标截止日前半年内任意一个月的社会保障资金缴存单据或社保机构开具的社会保险参保缴费情况证明，依法不需要缴纳社会保障资金的单位应提供相关证明材料；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截止竞争性谈判文件递交截止时间之前，供应商不得在“信用中国” 网站（www.creditchina.gov.cn）中被列入失信被执行人、或被列入异常经营名录及重大税收违法失信主体、“ 中国政府采购网(www.ccgp.gov.cn)” 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产品技术参数表 技术偏离表.docx 中小企业声明函 残疾人福利性单位声明函 商务应答表 供应商应提交的相关资格证明材料 标的清单 技术响应方案说明.docx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未超过最高限价，无选择性报价。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符合谈判文件的实质性要求</w:t>
            </w:r>
          </w:p>
        </w:tc>
        <w:tc>
          <w:tcPr>
            <w:tcW w:type="dxa" w:w="3322"/>
          </w:tcPr>
          <w:p>
            <w:pPr>
              <w:pStyle w:val="null3"/>
            </w:pPr>
            <w:r>
              <w:rPr>
                <w:rFonts w:ascii="仿宋_GB2312" w:hAnsi="仿宋_GB2312" w:cs="仿宋_GB2312" w:eastAsia="仿宋_GB2312"/>
              </w:rPr>
              <w:t>符合谈判文件的实质性要求。</w:t>
            </w:r>
          </w:p>
        </w:tc>
        <w:tc>
          <w:tcPr>
            <w:tcW w:type="dxa" w:w="1661"/>
          </w:tcPr>
          <w:p>
            <w:pPr>
              <w:pStyle w:val="null3"/>
            </w:pPr>
            <w:r>
              <w:rPr>
                <w:rFonts w:ascii="仿宋_GB2312" w:hAnsi="仿宋_GB2312" w:cs="仿宋_GB2312" w:eastAsia="仿宋_GB2312"/>
              </w:rPr>
              <w:t>响应文件封面 产品技术参数表 商务应答表 标的清单 报价表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详见附件：技术响应方案说明.docx</w:t>
      </w:r>
    </w:p>
    <w:p>
      <w:pPr>
        <w:pStyle w:val="null3"/>
        <w:ind w:firstLine="960"/>
      </w:pPr>
      <w:r>
        <w:rPr>
          <w:rFonts w:ascii="仿宋_GB2312" w:hAnsi="仿宋_GB2312" w:cs="仿宋_GB2312" w:eastAsia="仿宋_GB2312"/>
        </w:rPr>
        <w:t>详见附件：技术偏离表.docx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详见附件：018谈判货物采购合同.docx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