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版本号：GCCS25-019(二次)20250715001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新型城镇化建设验收评定服务、省级以上传统村落保护发展规划编制服务项目(二次)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GCCS25-019(二次)</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新型城镇化建设验收评定服务、省级以上传统村落保护发展规划编制服务项目(二次)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GCCS25-019(二次)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新型城镇化建设验收评定服务、省级以上传统村落保护发展规划编制服务项目(二次)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本采购包主要内容包括完成各区县实施的64个县城建设项目、26个小城镇建设及69个美丽村庄建设年度成效评价工作等内容。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029-88668218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按包计算收取。 （2）采购代理服务费缴纳账户： 开户名称：陕西国采项目管理有限公司，开 户 行：中国建设银行股份有限公司西安大庆路支行，账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采购项目分为两个采购包进行采购，第一包新型城镇化建设验收评定，主要内容包括完成各区县实施的64个县城建设项目、26个小城镇建设及69个美丽村庄建设年度成效评价工作；第二包省级以上传统村落保护发展规划编制项目，主要内容包括按照相关文件的要求对蓝田县石船沟村、青坪村、沟口村，周至县老县城村、兰梅塬村，临潼区穆柯寨村、仁宗村和秦汉新城刘家沟村等8个省级以上传统村落开展保护和发展规划的编制（修编）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新型城镇化建设验收评定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标的名称：新型城镇化建设验收评定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一、承包范围</w:t>
            </w:r>
          </w:p>
          <w:p>
            <w:pPr>
              <w:pStyle w:val="null3"/>
            </w:pPr>
            <w:r>
              <w:rPr>
                <w:rFonts w:ascii="仿宋_GB2312" w:hAnsi="仿宋_GB2312" w:cs="仿宋_GB2312" w:eastAsia="仿宋_GB2312"/>
                <w:sz w:val="20"/>
              </w:rPr>
              <w:t>开展各区县实施的64个县城建设项目、26个小城镇建设及69个美丽村庄建设的年度成效评价工作。</w:t>
            </w:r>
          </w:p>
          <w:p>
            <w:pPr>
              <w:pStyle w:val="null3"/>
            </w:pPr>
            <w:r>
              <w:rPr>
                <w:rFonts w:ascii="仿宋_GB2312" w:hAnsi="仿宋_GB2312" w:cs="仿宋_GB2312" w:eastAsia="仿宋_GB2312"/>
                <w:sz w:val="20"/>
                <w:b/>
              </w:rPr>
              <w:t>二、</w:t>
            </w:r>
            <w:r>
              <w:rPr>
                <w:rFonts w:ascii="仿宋_GB2312" w:hAnsi="仿宋_GB2312" w:cs="仿宋_GB2312" w:eastAsia="仿宋_GB2312"/>
                <w:sz w:val="20"/>
                <w:b/>
              </w:rPr>
              <w:t>技术要求</w:t>
            </w:r>
          </w:p>
          <w:p>
            <w:pPr>
              <w:pStyle w:val="null3"/>
            </w:pPr>
            <w:r>
              <w:rPr>
                <w:rFonts w:ascii="仿宋_GB2312" w:hAnsi="仿宋_GB2312" w:cs="仿宋_GB2312" w:eastAsia="仿宋_GB2312"/>
                <w:sz w:val="20"/>
              </w:rPr>
              <w:t>成效评价应坚持客观公正、科学合理、公平透明、实事求是的原则，采取实地考察、现场评分和查阅资料相结合的方式开展。</w:t>
            </w:r>
          </w:p>
          <w:p>
            <w:pPr>
              <w:pStyle w:val="null3"/>
            </w:pPr>
            <w:r>
              <w:rPr>
                <w:rFonts w:ascii="仿宋_GB2312" w:hAnsi="仿宋_GB2312" w:cs="仿宋_GB2312" w:eastAsia="仿宋_GB2312"/>
                <w:sz w:val="20"/>
                <w:b/>
              </w:rPr>
              <w:t>（一）县城建设</w:t>
            </w:r>
          </w:p>
          <w:p>
            <w:pPr>
              <w:pStyle w:val="null3"/>
            </w:pPr>
            <w:r>
              <w:rPr>
                <w:rFonts w:ascii="仿宋_GB2312" w:hAnsi="仿宋_GB2312" w:cs="仿宋_GB2312" w:eastAsia="仿宋_GB2312"/>
                <w:sz w:val="20"/>
              </w:rPr>
              <w:t>依据《西安市推进县城建设补短板提品质实施方案》，从优化道路建设、提标市政设施、增强安全韧性、完善环卫设施、改善人居环境、提升县城品质、城乡融合发展等7个方面拟定细化内容，对县城建设的重点任务进展情况进行成效评价。</w:t>
            </w:r>
          </w:p>
          <w:p>
            <w:pPr>
              <w:pStyle w:val="null3"/>
            </w:pPr>
            <w:r>
              <w:rPr>
                <w:rFonts w:ascii="仿宋_GB2312" w:hAnsi="仿宋_GB2312" w:cs="仿宋_GB2312" w:eastAsia="仿宋_GB2312"/>
                <w:sz w:val="20"/>
              </w:rPr>
              <w:t>1.县城建设中的优化道路建设、提标市政设施、增强安全韧性、完善环卫设施、改善人居环境、提升县城品质等6类项目，重点从建设进度、资金拨付等方面进行成效评价。</w:t>
            </w:r>
          </w:p>
          <w:p>
            <w:pPr>
              <w:pStyle w:val="null3"/>
            </w:pPr>
            <w:r>
              <w:rPr>
                <w:rFonts w:ascii="仿宋_GB2312" w:hAnsi="仿宋_GB2312" w:cs="仿宋_GB2312" w:eastAsia="仿宋_GB2312"/>
                <w:sz w:val="20"/>
              </w:rPr>
              <w:t>2.县城建设中的城乡融合发展类项目，从村庄塑造、“十个一”建设、“六个连片”建设和年度目标任务完成等方面进行成效评价。</w:t>
            </w:r>
          </w:p>
          <w:p>
            <w:pPr>
              <w:pStyle w:val="null3"/>
            </w:pPr>
            <w:r>
              <w:rPr>
                <w:rFonts w:ascii="仿宋_GB2312" w:hAnsi="仿宋_GB2312" w:cs="仿宋_GB2312" w:eastAsia="仿宋_GB2312"/>
                <w:sz w:val="20"/>
              </w:rPr>
              <w:t>①村庄塑造：按照美丽村庄建设要求进行评价；</w:t>
            </w:r>
          </w:p>
          <w:p>
            <w:pPr>
              <w:pStyle w:val="null3"/>
            </w:pPr>
            <w:r>
              <w:rPr>
                <w:rFonts w:ascii="仿宋_GB2312" w:hAnsi="仿宋_GB2312" w:cs="仿宋_GB2312" w:eastAsia="仿宋_GB2312"/>
                <w:sz w:val="20"/>
              </w:rPr>
              <w:t>②“十个一”：从一个主题标识、一套宣传册、一个核心主打品牌、一个游客服务中心、一条串村旅游线路、一条关中特色村巷、一群高端精品民宿、一座农副产品展厅、一批农旅融合项目、一批特色打卡布点等方面进行评价；</w:t>
            </w:r>
          </w:p>
          <w:p>
            <w:pPr>
              <w:pStyle w:val="null3"/>
            </w:pPr>
            <w:r>
              <w:rPr>
                <w:rFonts w:ascii="仿宋_GB2312" w:hAnsi="仿宋_GB2312" w:cs="仿宋_GB2312" w:eastAsia="仿宋_GB2312"/>
                <w:sz w:val="20"/>
              </w:rPr>
              <w:t>③“六个连片”:从规划连片、资源连片、道路连片、设施连片、产业连片、旅游连片等六个方面进行评价。</w:t>
            </w:r>
          </w:p>
          <w:p>
            <w:pPr>
              <w:pStyle w:val="null3"/>
            </w:pPr>
            <w:r>
              <w:rPr>
                <w:rFonts w:ascii="仿宋_GB2312" w:hAnsi="仿宋_GB2312" w:cs="仿宋_GB2312" w:eastAsia="仿宋_GB2312"/>
                <w:sz w:val="20"/>
                <w:b/>
              </w:rPr>
              <w:t>（二）小城镇建设</w:t>
            </w:r>
          </w:p>
          <w:p>
            <w:pPr>
              <w:pStyle w:val="null3"/>
            </w:pPr>
            <w:r>
              <w:rPr>
                <w:rFonts w:ascii="仿宋_GB2312" w:hAnsi="仿宋_GB2312" w:cs="仿宋_GB2312" w:eastAsia="仿宋_GB2312"/>
                <w:sz w:val="20"/>
              </w:rPr>
              <w:t>按照《西安市小城镇建设实施方案（2021年-2025年）》和《西安市2025年度“三类”小城镇建设目标任务》，根据省级重点镇、跟踪指导培育镇和环境整治提升镇等三类小城镇的建设要求制定方案进行评价，从小城镇建设的规划管理、镇街环境、产业经济、公共设施、管理宣传等五个方面进行评价。</w:t>
            </w:r>
          </w:p>
          <w:p>
            <w:pPr>
              <w:pStyle w:val="null3"/>
            </w:pPr>
            <w:r>
              <w:rPr>
                <w:rFonts w:ascii="仿宋_GB2312" w:hAnsi="仿宋_GB2312" w:cs="仿宋_GB2312" w:eastAsia="仿宋_GB2312"/>
                <w:sz w:val="20"/>
                <w:b/>
              </w:rPr>
              <w:t>（三）美丽村庄建设</w:t>
            </w:r>
          </w:p>
          <w:p>
            <w:pPr>
              <w:pStyle w:val="null3"/>
            </w:pPr>
            <w:r>
              <w:rPr>
                <w:rFonts w:ascii="仿宋_GB2312" w:hAnsi="仿宋_GB2312" w:cs="仿宋_GB2312" w:eastAsia="仿宋_GB2312"/>
                <w:sz w:val="20"/>
              </w:rPr>
              <w:t>以“五个三”建设为主要内容进行评价。</w:t>
            </w:r>
          </w:p>
          <w:p>
            <w:pPr>
              <w:pStyle w:val="null3"/>
            </w:pPr>
            <w:r>
              <w:rPr>
                <w:rFonts w:ascii="仿宋_GB2312" w:hAnsi="仿宋_GB2312" w:cs="仿宋_GB2312" w:eastAsia="仿宋_GB2312"/>
                <w:sz w:val="20"/>
              </w:rPr>
              <w:t>1、抓好三个“清”，即清理垃圾、清理违章、清理标牌；</w:t>
            </w:r>
          </w:p>
          <w:p>
            <w:pPr>
              <w:pStyle w:val="null3"/>
            </w:pPr>
            <w:r>
              <w:rPr>
                <w:rFonts w:ascii="仿宋_GB2312" w:hAnsi="仿宋_GB2312" w:cs="仿宋_GB2312" w:eastAsia="仿宋_GB2312"/>
                <w:sz w:val="20"/>
              </w:rPr>
              <w:t>2、布好三个“点，即布好景观小品点、布好人文展示点、布好垃圾收集点；</w:t>
            </w:r>
          </w:p>
          <w:p>
            <w:pPr>
              <w:pStyle w:val="null3"/>
            </w:pPr>
            <w:r>
              <w:rPr>
                <w:rFonts w:ascii="仿宋_GB2312" w:hAnsi="仿宋_GB2312" w:cs="仿宋_GB2312" w:eastAsia="仿宋_GB2312"/>
                <w:sz w:val="20"/>
              </w:rPr>
              <w:t>3、实现三个“治”，即治理污水、治理厕所、治理乱搭；</w:t>
            </w:r>
          </w:p>
          <w:p>
            <w:pPr>
              <w:pStyle w:val="null3"/>
            </w:pPr>
            <w:r>
              <w:rPr>
                <w:rFonts w:ascii="仿宋_GB2312" w:hAnsi="仿宋_GB2312" w:cs="仿宋_GB2312" w:eastAsia="仿宋_GB2312"/>
                <w:sz w:val="20"/>
              </w:rPr>
              <w:t>4、美化三个“口”，即美化村庄入口、美化住宅门口、美化村道交叉口；</w:t>
            </w:r>
          </w:p>
          <w:p>
            <w:pPr>
              <w:pStyle w:val="null3"/>
            </w:pPr>
            <w:r>
              <w:rPr>
                <w:rFonts w:ascii="仿宋_GB2312" w:hAnsi="仿宋_GB2312" w:cs="仿宋_GB2312" w:eastAsia="仿宋_GB2312"/>
                <w:sz w:val="20"/>
              </w:rPr>
              <w:t>5、整治三个“面”，即整治村庄平面、整治村道路面、整治房屋立面。</w:t>
            </w:r>
          </w:p>
          <w:p>
            <w:pPr>
              <w:pStyle w:val="null3"/>
            </w:pPr>
            <w:r>
              <w:rPr>
                <w:rFonts w:ascii="仿宋_GB2312" w:hAnsi="仿宋_GB2312" w:cs="仿宋_GB2312" w:eastAsia="仿宋_GB2312"/>
                <w:sz w:val="20"/>
                <w:b/>
              </w:rPr>
              <w:t>（四）实施要求</w:t>
            </w:r>
          </w:p>
          <w:p>
            <w:pPr>
              <w:pStyle w:val="null3"/>
            </w:pPr>
            <w:r>
              <w:rPr>
                <w:rFonts w:ascii="仿宋_GB2312" w:hAnsi="仿宋_GB2312" w:cs="仿宋_GB2312" w:eastAsia="仿宋_GB2312"/>
                <w:sz w:val="20"/>
              </w:rPr>
              <w:t>1、评价紧扣《实施方案》，便于量化，尽量采用客观指标。确实不能量化的，主观判断需要有相关资料的支撑。</w:t>
            </w:r>
          </w:p>
          <w:p>
            <w:pPr>
              <w:pStyle w:val="null3"/>
            </w:pPr>
            <w:r>
              <w:rPr>
                <w:rFonts w:ascii="仿宋_GB2312" w:hAnsi="仿宋_GB2312" w:cs="仿宋_GB2312" w:eastAsia="仿宋_GB2312"/>
                <w:sz w:val="20"/>
              </w:rPr>
              <w:t>2、成效评价包括现场抽查和室内作业两部分组成。</w:t>
            </w:r>
          </w:p>
          <w:p>
            <w:pPr>
              <w:pStyle w:val="null3"/>
            </w:pPr>
            <w:r>
              <w:rPr>
                <w:rFonts w:ascii="仿宋_GB2312" w:hAnsi="仿宋_GB2312" w:cs="仿宋_GB2312" w:eastAsia="仿宋_GB2312"/>
                <w:sz w:val="20"/>
              </w:rPr>
              <w:t>（1）现场抽查</w:t>
            </w:r>
          </w:p>
          <w:p>
            <w:pPr>
              <w:pStyle w:val="null3"/>
            </w:pPr>
            <w:r>
              <w:rPr>
                <w:rFonts w:ascii="仿宋_GB2312" w:hAnsi="仿宋_GB2312" w:cs="仿宋_GB2312" w:eastAsia="仿宋_GB2312"/>
                <w:sz w:val="20"/>
              </w:rPr>
              <w:t>根据区县互看的资料，进行室内初步评价。根据资料情况，在每个县区中抽取一定比例的项目进行现场复评，重点抽取资料不全的或者投资量大的项目。抽查的项目必须覆盖所有区县。</w:t>
            </w:r>
          </w:p>
          <w:p>
            <w:pPr>
              <w:pStyle w:val="null3"/>
            </w:pPr>
            <w:r>
              <w:rPr>
                <w:rFonts w:ascii="仿宋_GB2312" w:hAnsi="仿宋_GB2312" w:cs="仿宋_GB2312" w:eastAsia="仿宋_GB2312"/>
                <w:sz w:val="20"/>
              </w:rPr>
              <w:t>（2）室内作业</w:t>
            </w:r>
          </w:p>
          <w:p>
            <w:pPr>
              <w:pStyle w:val="null3"/>
            </w:pPr>
            <w:r>
              <w:rPr>
                <w:rFonts w:ascii="仿宋_GB2312" w:hAnsi="仿宋_GB2312" w:cs="仿宋_GB2312" w:eastAsia="仿宋_GB2312"/>
                <w:sz w:val="20"/>
              </w:rPr>
              <w:t>根据区县互看资料和现场抽查资料，进行室内评价。</w:t>
            </w:r>
          </w:p>
          <w:p>
            <w:pPr>
              <w:pStyle w:val="null3"/>
            </w:pPr>
            <w:r>
              <w:rPr>
                <w:rFonts w:ascii="仿宋_GB2312" w:hAnsi="仿宋_GB2312" w:cs="仿宋_GB2312" w:eastAsia="仿宋_GB2312"/>
                <w:sz w:val="20"/>
              </w:rPr>
              <w:t>评价结果应形成相应的技术报告。技术报告应包含评价对象的基本情况、评价结果及结果分析等内容。</w:t>
            </w:r>
          </w:p>
          <w:p>
            <w:pPr>
              <w:pStyle w:val="null3"/>
            </w:pPr>
            <w:r>
              <w:rPr>
                <w:rFonts w:ascii="仿宋_GB2312" w:hAnsi="仿宋_GB2312" w:cs="仿宋_GB2312" w:eastAsia="仿宋_GB2312"/>
                <w:sz w:val="20"/>
                <w:b/>
              </w:rPr>
              <w:t>三、项目时间及进度要求</w:t>
            </w:r>
          </w:p>
          <w:p>
            <w:pPr>
              <w:pStyle w:val="null3"/>
            </w:pPr>
            <w:r>
              <w:rPr>
                <w:rFonts w:ascii="仿宋_GB2312" w:hAnsi="仿宋_GB2312" w:cs="仿宋_GB2312" w:eastAsia="仿宋_GB2312"/>
                <w:sz w:val="20"/>
              </w:rPr>
              <w:t>合同履行期：60日历天。</w:t>
            </w:r>
          </w:p>
          <w:p>
            <w:pPr>
              <w:pStyle w:val="null3"/>
            </w:pPr>
            <w:r>
              <w:rPr>
                <w:rFonts w:ascii="仿宋_GB2312" w:hAnsi="仿宋_GB2312" w:cs="仿宋_GB2312" w:eastAsia="仿宋_GB2312"/>
                <w:sz w:val="20"/>
              </w:rPr>
              <w:t>1、准备阶段</w:t>
            </w:r>
          </w:p>
          <w:p>
            <w:pPr>
              <w:pStyle w:val="null3"/>
            </w:pPr>
            <w:r>
              <w:rPr>
                <w:rFonts w:ascii="仿宋_GB2312" w:hAnsi="仿宋_GB2312" w:cs="仿宋_GB2312" w:eastAsia="仿宋_GB2312"/>
                <w:sz w:val="20"/>
              </w:rPr>
              <w:t>按照合同约定时间完成评价标准的细化、区县现场考核人员的培训等工作。</w:t>
            </w:r>
          </w:p>
          <w:p>
            <w:pPr>
              <w:pStyle w:val="null3"/>
            </w:pPr>
            <w:r>
              <w:rPr>
                <w:rFonts w:ascii="仿宋_GB2312" w:hAnsi="仿宋_GB2312" w:cs="仿宋_GB2312" w:eastAsia="仿宋_GB2312"/>
                <w:sz w:val="20"/>
              </w:rPr>
              <w:t>2、现场考核阶段</w:t>
            </w:r>
          </w:p>
          <w:p>
            <w:pPr>
              <w:pStyle w:val="null3"/>
            </w:pPr>
            <w:r>
              <w:rPr>
                <w:rFonts w:ascii="仿宋_GB2312" w:hAnsi="仿宋_GB2312" w:cs="仿宋_GB2312" w:eastAsia="仿宋_GB2312"/>
                <w:sz w:val="20"/>
              </w:rPr>
              <w:t>准备阶段结束后两周内，完成现场评价。</w:t>
            </w:r>
          </w:p>
          <w:p>
            <w:pPr>
              <w:pStyle w:val="null3"/>
            </w:pPr>
            <w:r>
              <w:rPr>
                <w:rFonts w:ascii="仿宋_GB2312" w:hAnsi="仿宋_GB2312" w:cs="仿宋_GB2312" w:eastAsia="仿宋_GB2312"/>
                <w:sz w:val="20"/>
              </w:rPr>
              <w:t>（1）区县组建专业技术人员现场察看，完成现场评价，并提交佐证材料；</w:t>
            </w:r>
          </w:p>
          <w:p>
            <w:pPr>
              <w:pStyle w:val="null3"/>
            </w:pPr>
            <w:r>
              <w:rPr>
                <w:rFonts w:ascii="仿宋_GB2312" w:hAnsi="仿宋_GB2312" w:cs="仿宋_GB2312" w:eastAsia="仿宋_GB2312"/>
                <w:sz w:val="20"/>
              </w:rPr>
              <w:t>（2）开展资料整理，形成初步评价结果；</w:t>
            </w:r>
          </w:p>
          <w:p>
            <w:pPr>
              <w:pStyle w:val="null3"/>
            </w:pPr>
            <w:r>
              <w:rPr>
                <w:rFonts w:ascii="仿宋_GB2312" w:hAnsi="仿宋_GB2312" w:cs="仿宋_GB2312" w:eastAsia="仿宋_GB2312"/>
                <w:sz w:val="20"/>
              </w:rPr>
              <w:t>（3）现场抽查。初步评价结果进行核查。</w:t>
            </w:r>
          </w:p>
          <w:p>
            <w:pPr>
              <w:pStyle w:val="null3"/>
            </w:pPr>
            <w:r>
              <w:rPr>
                <w:rFonts w:ascii="仿宋_GB2312" w:hAnsi="仿宋_GB2312" w:cs="仿宋_GB2312" w:eastAsia="仿宋_GB2312"/>
                <w:sz w:val="20"/>
              </w:rPr>
              <w:t>（4）室内复评。结合抽查对初步结果进行复评。</w:t>
            </w:r>
          </w:p>
          <w:p>
            <w:pPr>
              <w:pStyle w:val="null3"/>
            </w:pPr>
            <w:r>
              <w:rPr>
                <w:rFonts w:ascii="仿宋_GB2312" w:hAnsi="仿宋_GB2312" w:cs="仿宋_GB2312" w:eastAsia="仿宋_GB2312"/>
                <w:sz w:val="20"/>
              </w:rPr>
              <w:t>3、汇总阶段</w:t>
            </w:r>
          </w:p>
          <w:p>
            <w:pPr>
              <w:pStyle w:val="null3"/>
            </w:pPr>
            <w:r>
              <w:rPr>
                <w:rFonts w:ascii="仿宋_GB2312" w:hAnsi="仿宋_GB2312" w:cs="仿宋_GB2312" w:eastAsia="仿宋_GB2312"/>
                <w:sz w:val="20"/>
              </w:rPr>
              <w:t>现场考核结束两周内，对所有的评价资料进行整理，总结经验及其问题，形成评价报告。</w:t>
            </w:r>
          </w:p>
          <w:p>
            <w:pPr>
              <w:pStyle w:val="null3"/>
            </w:pPr>
            <w:r>
              <w:rPr>
                <w:rFonts w:ascii="仿宋_GB2312" w:hAnsi="仿宋_GB2312" w:cs="仿宋_GB2312" w:eastAsia="仿宋_GB2312"/>
                <w:sz w:val="20"/>
                <w:b/>
              </w:rPr>
              <w:t>四、成果文件要求</w:t>
            </w:r>
          </w:p>
          <w:p>
            <w:pPr>
              <w:pStyle w:val="null3"/>
              <w:jc w:val="both"/>
            </w:pPr>
            <w:r>
              <w:rPr>
                <w:rFonts w:ascii="仿宋_GB2312" w:hAnsi="仿宋_GB2312" w:cs="仿宋_GB2312" w:eastAsia="仿宋_GB2312"/>
                <w:sz w:val="20"/>
              </w:rPr>
              <w:t>成交供应商最终向采购人提交纸质成果文件10份，电子文档2份（刻盘）。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双方签订合同后，供应商开具相应增值税发票，采购人收到发票后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全部服务内容完成验收合格后，供应商开具增值税发票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（一）违约责任：1.服务缺陷的补救措施和索赔(1)如果乙方提供的服务不符合本合同约定以及磋商文件、响应文件关于服务的要求和承诺，乙方应按照甲方同意的下列一种或几种方式结合起来解决索赔事宜：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（二）合同争议的解决方式： 在执行本合同中发生的或与本合同有关的争端，双方应通过友好协商解决，经协商在30天内不能达成协议时，向甲方所在地有管辖权的人民法院提起诉讼。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（2）税收缴纳证明：提供供应商自磋商前1年以来已缴纳任意时段完税凭证或税务机关开具的完税证明（任意税种）；依法免税的应提供相关文件证明；公益类事业单位可不提供； （3）社会保障资金缴纳证明：提供供应商自磋商前1年以来已缴存的任意时段的社会保障资金缴存单据或社保机构开具的社会保险参保缴费情况证明；依法不需要缴纳社会保障资金的供应商应提供相关文件证明；公益类事业单位可不提供；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供应商需在项目电子化交易系统中按要求填写《响应函》完成承诺并进行电子签章。供应商需在《供应商应提交的相关资格证明材料》中提供上述资格证明材料。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供应商应提交的相关资格证明材料（第一包）.docx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需提供2023年度或2024年度经审计的供应商财务会计报告或者提供响应文件截止时间3个月内其基本账户开户银行出具的资信证明；公益类事业单位可不提供。 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费用组成明细表.docx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考评方案</w:t>
            </w:r>
          </w:p>
        </w:tc>
        <w:tc>
          <w:tcPr>
            <w:tcW w:type="dxa" w:w="2492"/>
          </w:tcPr>
          <w:p>
            <w:pPr>
              <w:pStyle w:val="null3"/>
            </w:pPr>
            <w:r>
              <w:rPr>
                <w:rFonts w:ascii="仿宋_GB2312" w:hAnsi="仿宋_GB2312" w:cs="仿宋_GB2312" w:eastAsia="仿宋_GB2312"/>
              </w:rPr>
              <w:t>一、评审内容：能切合西安市自然及环境现状、建设目标、地方特色、定位具有深度的思考，对县城建设、小城镇建设和美丽村庄等有深入的了解并提出有效且符合建设目标，地方特色的考评方案。 二、评审标准： 以上内容专门针对本项目且符合本项目实际需求的得6分，缺项扣6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各专项考评方案</w:t>
            </w:r>
          </w:p>
        </w:tc>
        <w:tc>
          <w:tcPr>
            <w:tcW w:type="dxa" w:w="2492"/>
          </w:tcPr>
          <w:p>
            <w:pPr>
              <w:pStyle w:val="null3"/>
            </w:pPr>
            <w:r>
              <w:rPr>
                <w:rFonts w:ascii="仿宋_GB2312" w:hAnsi="仿宋_GB2312" w:cs="仿宋_GB2312" w:eastAsia="仿宋_GB2312"/>
              </w:rPr>
              <w:t>一、县城建设（21分） 1、县城建设中的优化道路建设、提标市政设施、增强安全韧性、完善环卫设施、改善人居环境、提升县城品质等6类项目，重点从建设进度、资金拨付等方面进行成效评价，总计不超过12分（12分）； 评审标准： 以上内容每一方面内容专门针对本项目且符合本项目实际需求的得2分，缺一方面扣2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 2、县城建设中的城乡融合发展类项目，从村庄塑造、“十个一”建设、“六个连片”建设等方面进行成效评价，总计不超过9分（9分）。 评审标准： 以上内容每一方面内容专门针对本项目且符合本项目实际需求的得3分，缺一方面扣3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 二、小城镇建设（10分） 根据省级重点镇、跟踪指导培育镇和环境整治提升镇等三类小城镇的建设要求制定方案进行评价，从小城镇建设的规划管理、镇街环境、产业经济、公共设施、管理宣传等五个方面进行评价，每类最高2分，总计不超过10分。 评审标准： 以上内容每一类专门针对本项目且符合本项目实际需求的得2分，缺一类扣2分。若每类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 三、美丽村庄建设（5分） 美丽村庄建设考核验收评比方案：重点围绕美丽村庄建设的“三个清”、“三个点”、“三个治”“三个口”“三个面”等五个方面进行评审；每项最高1分，总计不超过5分（5分）； 评审标准： 以上内容每一方面内容专门针对本项目且符合本项目实际需求的得1分，缺一方面扣1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考评的指标及评分标准</w:t>
            </w:r>
          </w:p>
        </w:tc>
        <w:tc>
          <w:tcPr>
            <w:tcW w:type="dxa" w:w="2492"/>
          </w:tcPr>
          <w:p>
            <w:pPr>
              <w:pStyle w:val="null3"/>
            </w:pPr>
            <w:r>
              <w:rPr>
                <w:rFonts w:ascii="仿宋_GB2312" w:hAnsi="仿宋_GB2312" w:cs="仿宋_GB2312" w:eastAsia="仿宋_GB2312"/>
              </w:rPr>
              <w:t>一、评审内容：考评的指标及评分标准：采用考核的指标及评分标准合理先进，充分反映并尊重项目所在地域文化和环境，并与项目整体目标一致，根据指标和标准总体思路清晰性、合理性、可操作性、可执行程度，是否能很好推动项目实施情况评审。 二、评审标准：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一、评审内容：针对采购内容提出适用于本项目的保障措施，包括：1、主要工作质量保障措施（5分）； 2、针对性的关键点分析及实施保障措施（5分）； 3、廉洁保密措施（5分）。 二、评审标准：以上内容每一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一、评审内容：针对采购内容提出适用于本项目的服务承诺，包括：1、对项目的实施质量要求、进度要求、时限要求、考评、报告编制等相关内容等做出承诺；（5分） 2、对项目后期服务等相关内容做出承诺。（5分） 二、评审标准：以上内容每一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拟投入团队综合情况评审</w:t>
            </w:r>
          </w:p>
        </w:tc>
        <w:tc>
          <w:tcPr>
            <w:tcW w:type="dxa" w:w="2492"/>
          </w:tcPr>
          <w:p>
            <w:pPr>
              <w:pStyle w:val="null3"/>
            </w:pPr>
            <w:r>
              <w:rPr>
                <w:rFonts w:ascii="仿宋_GB2312" w:hAnsi="仿宋_GB2312" w:cs="仿宋_GB2312" w:eastAsia="仿宋_GB2312"/>
              </w:rPr>
              <w:t>一、评审内容：供应商有针对本项目的专业服务团队，组织结构合理，人员分工明确，满足要求。（5分） 二、评审标准： 项目实施团队完备、岗位设置合理，专业人员配置齐全、针对性强、分工明确，能够满足采购人项目需求的，得5分； 项目实施团队完备、岗位设置合理，分工有一定的合理性，基本能满足项目需求的，得4分； 项目实施团队基本完备、岗位设置基本合理，专业人员配备基本满足项目实施需要，分工基本合理的得3分； 专业人员配备能够基本满足项目实施需要，但分工不明确、不合理的得2分； 人员配备专业人员配备不齐全的得1分； 人员配备严重不足的不得分。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项目组成员技术能力情况</w:t>
            </w:r>
          </w:p>
        </w:tc>
        <w:tc>
          <w:tcPr>
            <w:tcW w:type="dxa" w:w="2492"/>
          </w:tcPr>
          <w:p>
            <w:pPr>
              <w:pStyle w:val="null3"/>
            </w:pPr>
            <w:r>
              <w:rPr>
                <w:rFonts w:ascii="仿宋_GB2312" w:hAnsi="仿宋_GB2312" w:cs="仿宋_GB2312" w:eastAsia="仿宋_GB2312"/>
              </w:rPr>
              <w:t>（1）项目负责人（3分）：具备高级以上职称，得2分（需提供职称证书）；主持过城镇、村庄建设规划及美丽村庄评价等相关研究课题得1分。（需提供证明材料，时间为近5年，最多提供1项）。 （2）项目组成员（2分）：项目组成员（除项目负责人外）具备高级以上职称者，1人赋1分，最高2分（需提供职称证书）。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供应商近五年（2020年1月至今），承担过国土空间规划、村庄规划、城镇与美丽村庄建设评价等相关课题业绩，每个业绩得2分，最高得8分（须提供证明文件，证明文件以合同或相关成果文件为准）。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详见附件：供应商应提交的相关资格证明材料（第一包）.docx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