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版本号：SXZSY-202501320250730002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进驻新中心场地防弹墙及安全幕布等相关设备购置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SXZSY-2025013</w:t>
      </w:r>
      <w:r>
        <w:br/>
      </w:r>
      <w:r>
        <w:br/>
      </w:r>
      <w:r>
        <w:br/>
      </w:r>
    </w:p>
    <w:p>
      <w:pPr>
        <w:pStyle w:val="null3"/>
        <w:jc w:val="center"/>
        <w:outlineLvl w:val="2"/>
      </w:pPr>
      <w:r>
        <w:rPr>
          <w:rFonts w:ascii="仿宋_GB2312" w:hAnsi="仿宋_GB2312" w:cs="仿宋_GB2312" w:eastAsia="仿宋_GB2312"/>
          <w:sz w:val="28"/>
          <w:b/>
        </w:rPr>
        <w:t>西安市射击射箭运动管理中心</w:t>
      </w:r>
    </w:p>
    <w:p>
      <w:pPr>
        <w:pStyle w:val="null3"/>
        <w:jc w:val="center"/>
        <w:outlineLvl w:val="2"/>
      </w:pPr>
      <w:r>
        <w:rPr>
          <w:rFonts w:ascii="仿宋_GB2312" w:hAnsi="仿宋_GB2312" w:cs="仿宋_GB2312" w:eastAsia="仿宋_GB2312"/>
          <w:sz w:val="28"/>
          <w:b/>
        </w:rPr>
        <w:t>陕西正顺意工程管理有限公司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陕西正顺意工程管理有限公司</w:t>
      </w:r>
      <w:r>
        <w:rPr>
          <w:rFonts w:ascii="仿宋_GB2312" w:hAnsi="仿宋_GB2312" w:cs="仿宋_GB2312" w:eastAsia="仿宋_GB2312"/>
        </w:rPr>
        <w:t>（以下简称“代理机构”）受</w:t>
      </w:r>
      <w:r>
        <w:rPr>
          <w:rFonts w:ascii="仿宋_GB2312" w:hAnsi="仿宋_GB2312" w:cs="仿宋_GB2312" w:eastAsia="仿宋_GB2312"/>
        </w:rPr>
        <w:t>西安市射击射箭运动管理中心</w:t>
      </w:r>
      <w:r>
        <w:rPr>
          <w:rFonts w:ascii="仿宋_GB2312" w:hAnsi="仿宋_GB2312" w:cs="仿宋_GB2312" w:eastAsia="仿宋_GB2312"/>
        </w:rPr>
        <w:t>委托，拟对</w:t>
      </w:r>
      <w:r>
        <w:rPr>
          <w:rFonts w:ascii="仿宋_GB2312" w:hAnsi="仿宋_GB2312" w:cs="仿宋_GB2312" w:eastAsia="仿宋_GB2312"/>
        </w:rPr>
        <w:t>进驻新中心场地防弹墙及安全幕布等相关设备购置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SXZSY-2025013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进驻新中心场地防弹墙及安全幕布等相关设备购置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进驻新中心场地防弹墙及安全幕布等相关设备购置，包含靶场防弹墙、射箭场地隔断；射击决赛管自动升降抗光黑幕布、伸缩遮阳棚；保证训练完整进行。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采购包1（进驻新中心场地靶场防弹墙及射箭场地隔断采购安装）：属于专门面向中小企业采购。</w:t>
      </w:r>
    </w:p>
    <w:p>
      <w:pPr>
        <w:pStyle w:val="null3"/>
      </w:pPr>
      <w:r>
        <w:rPr>
          <w:rFonts w:ascii="仿宋_GB2312" w:hAnsi="仿宋_GB2312" w:cs="仿宋_GB2312" w:eastAsia="仿宋_GB2312"/>
        </w:rPr>
        <w:t>采购包2（进驻新中心场地安全幕布及遮阳棚采购安装）：属于专门面向中小企业采购。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财务状况报告：提供企业赋码后的2024年财务审计报告[提供经审计的资产负债表、现金流量表、利润表(损益表)等资料复印件，提供的财务审计报告需在注册会计师行业统一监管平台(http://acc.mof.gov.cn/)可查询并提供网页截图(成立时间至提交响应文件截止时间不足一年的可提供成立后任意时段的资产负债表)]或提供响应文件截止时间前六个月内其基本账户开户银行出具的资信证明。</w:t>
      </w:r>
    </w:p>
    <w:p>
      <w:pPr>
        <w:pStyle w:val="null3"/>
      </w:pPr>
      <w:r>
        <w:rPr>
          <w:rFonts w:ascii="仿宋_GB2312" w:hAnsi="仿宋_GB2312" w:cs="仿宋_GB2312" w:eastAsia="仿宋_GB2312"/>
        </w:rPr>
        <w:t>3、社保缴纳证明：提供投标截止时间前12个月内任意一个月的已缴存的社会保障资金缴存单据或社保机构开具的社会保险参保缴费情况证明，依法不需要缴纳社会保障资金的单位应提供相关证明材料。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4、税收缴纳证明：税收缴纳证明：提供投标截止时间前12个月内任意一个月的纳税证明或完税证明（任意税种），依法免税的单位应提供相关证明材料。</w:t>
      </w:r>
    </w:p>
    <w:p>
      <w:pPr>
        <w:pStyle w:val="null3"/>
      </w:pPr>
      <w:r>
        <w:rPr>
          <w:rFonts w:ascii="仿宋_GB2312" w:hAnsi="仿宋_GB2312" w:cs="仿宋_GB2312" w:eastAsia="仿宋_GB2312"/>
        </w:rPr>
        <w:t>5、书面声明：参加政府采购活动前3年内，在经营活动中没有重大违法记录的书面声明。</w:t>
      </w:r>
    </w:p>
    <w:p>
      <w:pPr>
        <w:pStyle w:val="null3"/>
      </w:pPr>
      <w:r>
        <w:rPr>
          <w:rFonts w:ascii="仿宋_GB2312" w:hAnsi="仿宋_GB2312" w:cs="仿宋_GB2312" w:eastAsia="仿宋_GB2312"/>
        </w:rPr>
        <w:t>6、具有履行合同所必需的设备和专业技术能力：具有履行合同所必需的设备和专业技术能力：具有履行合同所必需的设备和专业技术能力的说明及承诺。</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10、供应商资质：具备建筑工程施工总承包三级及以上资质，同时须具有有效期内的《安全生产许可证》。</w:t>
      </w:r>
    </w:p>
    <w:p>
      <w:pPr>
        <w:pStyle w:val="null3"/>
      </w:pPr>
      <w:r>
        <w:rPr>
          <w:rFonts w:ascii="仿宋_GB2312" w:hAnsi="仿宋_GB2312" w:cs="仿宋_GB2312" w:eastAsia="仿宋_GB2312"/>
        </w:rPr>
        <w:t>11、拟派项目经理：拟派项目经理须具有建筑工程专业二级及以上注册建造师资格，具备有效的安全生产考核合格证书，且未担任其他在建工程的项目经理。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财务状况报告：提供企业赋码后的2024年财务审计报告[提供经审计的资产负债表、现金流量表、利润表(损益表)等资料复印件，提供的财务审计报告需在注册会计师行业统一监管平台(http://acc.mof.gov.cn/)可查询并提供网页截图(成立时间至提交响应文件截止时间不足一年的可提供成立后任意时段的资产负债表)]或提供响应文件截止时间前六个月内其基本账户开户银行出具的资信证明。</w:t>
      </w:r>
    </w:p>
    <w:p>
      <w:pPr>
        <w:pStyle w:val="null3"/>
      </w:pPr>
      <w:r>
        <w:rPr>
          <w:rFonts w:ascii="仿宋_GB2312" w:hAnsi="仿宋_GB2312" w:cs="仿宋_GB2312" w:eastAsia="仿宋_GB2312"/>
        </w:rPr>
        <w:t>3、社保缴纳证明：提供投标截止时间前12个月内任意一个月的已缴存的社会保障资金缴存单据或社保机构开具的社会保险参保缴费情况证明，依法不需要缴纳社会保障资金的单位应提供相关证明材料。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4、税收缴纳证明：税收缴纳证明：提供投标截止时间前12个月内任意一个月的纳税证明或完税证明（任意税种），依法免税的单位应提供相关证明材料。</w:t>
      </w:r>
    </w:p>
    <w:p>
      <w:pPr>
        <w:pStyle w:val="null3"/>
      </w:pPr>
      <w:r>
        <w:rPr>
          <w:rFonts w:ascii="仿宋_GB2312" w:hAnsi="仿宋_GB2312" w:cs="仿宋_GB2312" w:eastAsia="仿宋_GB2312"/>
        </w:rPr>
        <w:t>5、书面声明：参加政府采购活动前3年内，在经营活动中没有重大违法记录的书面声明。</w:t>
      </w:r>
    </w:p>
    <w:p>
      <w:pPr>
        <w:pStyle w:val="null3"/>
      </w:pPr>
      <w:r>
        <w:rPr>
          <w:rFonts w:ascii="仿宋_GB2312" w:hAnsi="仿宋_GB2312" w:cs="仿宋_GB2312" w:eastAsia="仿宋_GB2312"/>
        </w:rPr>
        <w:t>6、具有履行合同所必需的设备和专业技术能力：具有履行合同所必需的设备和专业技术能力：具有履行合同所必需的设备和专业技术能力的说明及承诺。</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10、项目负责人：无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西安市射击射箭运动管理中心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陕西省西安市灞桥区港务西路与秦汉大道交叉口北900米路东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029-88060669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陕西正顺意工程管理有限公司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陕西省西安市高新区高新六路21号万象汇街区T6座1501室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029-88748350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采购包1：1,490,000.00元</w:t>
            </w:r>
          </w:p>
          <w:p>
            <w:pPr>
              <w:pStyle w:val="null3"/>
            </w:pPr>
            <w:r>
              <w:rPr>
                <w:rFonts w:ascii="仿宋_GB2312" w:hAnsi="仿宋_GB2312" w:cs="仿宋_GB2312" w:eastAsia="仿宋_GB2312"/>
              </w:rPr>
              <w:t>采购包2：1,250,000.00元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说明：1、要求提供，本项目履约保证金为合同金额的3% 。 2、履约保证金交纳时间：成交后 七日内需要交纳履约保证金。未在规定时间内缴纳履约保证金视为拒签合同， 自动放弃成交资 格。 3、履约保证金的缴纳形式：采用银行对公转账、电汇形式对公形式交纳。 4、履约保证金的还：项目验收合格后履约保证金转为质量保证金。质保期满，无任何质量问题且不存在争议，一次性无息退还至成交供应商账户。</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 1、要求提供，本项目履约保证金为合同金额的3% 。 2、履约保证金交纳时间：成交后十日内需要交纳履约保证金。未在规定时间内缴纳履约保证金视为拒签合同， 自动放弃成交资格。 3、履约保证金的缴纳形式：采用银行对公转账、电汇形式对公形式交纳。 4、履约保证金归还：项目验收合格后履约保证金转为质量保证金。质保期满，无任何质量问题且不存在争议，一次性无息退还至成交供应商账户。</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1、代理服务费收取对象：中标/成交供应商 2、代理服务费收费标准：招标代理服务费参照《国家计委关于印发&lt;招标代理服务收费管理暂行办法&gt;的通知》（计价格〔2002〕1980号）和发改办价格〔2003〕857号以及发改价格〔2011〕534号文中规定的标准执行。 成交单位的代理服务费交纳信息 开户名称：户 名：陕西正顺意工程管理有限公司 账 号：802923010122701960 开户银行：恒丰银行西安大寨路支行。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西安市射击射箭运动管理中心</w:t>
      </w:r>
      <w:r>
        <w:rPr>
          <w:rFonts w:ascii="仿宋_GB2312" w:hAnsi="仿宋_GB2312" w:cs="仿宋_GB2312" w:eastAsia="仿宋_GB2312"/>
        </w:rPr>
        <w:t>和</w:t>
      </w:r>
      <w:r>
        <w:rPr>
          <w:rFonts w:ascii="仿宋_GB2312" w:hAnsi="仿宋_GB2312" w:cs="仿宋_GB2312" w:eastAsia="仿宋_GB2312"/>
        </w:rPr>
        <w:t>陕西正顺意工程管理有限公司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西安市射击射箭运动管理中心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陕西正顺意工程管理有限公司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西安市射击射箭运动管理中心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陕西正顺意工程管理有限公司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符合国家及行业合格验收标准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陕西正顺意工程管理有限公司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陕西正顺意工程管理有限公司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陕西正顺意工程管理有限公司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联系人：郭晨东</w:t>
      </w:r>
    </w:p>
    <w:p>
      <w:pPr>
        <w:pStyle w:val="null3"/>
      </w:pPr>
      <w:r>
        <w:rPr>
          <w:rFonts w:ascii="仿宋_GB2312" w:hAnsi="仿宋_GB2312" w:cs="仿宋_GB2312" w:eastAsia="仿宋_GB2312"/>
        </w:rPr>
        <w:t>联系电话：029-88748350</w:t>
      </w:r>
    </w:p>
    <w:p>
      <w:pPr>
        <w:pStyle w:val="null3"/>
      </w:pPr>
      <w:r>
        <w:rPr>
          <w:rFonts w:ascii="仿宋_GB2312" w:hAnsi="仿宋_GB2312" w:cs="仿宋_GB2312" w:eastAsia="仿宋_GB2312"/>
        </w:rPr>
        <w:t>地址：陕西省西安市高新区高新六路21号万象汇街区T6座1501室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1,490,000.00</w:t>
      </w:r>
    </w:p>
    <w:p>
      <w:pPr>
        <w:pStyle w:val="null3"/>
      </w:pPr>
      <w:r>
        <w:rPr>
          <w:rFonts w:ascii="仿宋_GB2312" w:hAnsi="仿宋_GB2312" w:cs="仿宋_GB2312" w:eastAsia="仿宋_GB2312"/>
        </w:rPr>
        <w:t>采购包最高限价（元）: 1,489,999.29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靶场防弹墙</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r>
        <w:tc>
          <w:tcPr>
            <w:tcW w:type="dxa" w:w="1384"/>
          </w:tcPr>
          <w:p>
            <w:pPr>
              <w:pStyle w:val="null3"/>
            </w:pPr>
            <w:r>
              <w:rPr>
                <w:rFonts w:ascii="仿宋_GB2312" w:hAnsi="仿宋_GB2312" w:cs="仿宋_GB2312" w:eastAsia="仿宋_GB2312"/>
              </w:rPr>
              <w:t>2</w:t>
            </w:r>
          </w:p>
        </w:tc>
        <w:tc>
          <w:tcPr>
            <w:tcW w:type="dxa" w:w="1384"/>
          </w:tcPr>
          <w:p>
            <w:pPr>
              <w:pStyle w:val="null3"/>
            </w:pPr>
            <w:r>
              <w:rPr>
                <w:rFonts w:ascii="仿宋_GB2312" w:hAnsi="仿宋_GB2312" w:cs="仿宋_GB2312" w:eastAsia="仿宋_GB2312"/>
              </w:rPr>
              <w:t>射箭场地隔断</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安全幕布</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r>
        <w:tc>
          <w:tcPr>
            <w:tcW w:type="dxa" w:w="1384"/>
          </w:tcPr>
          <w:p>
            <w:pPr>
              <w:pStyle w:val="null3"/>
            </w:pPr>
            <w:r>
              <w:rPr>
                <w:rFonts w:ascii="仿宋_GB2312" w:hAnsi="仿宋_GB2312" w:cs="仿宋_GB2312" w:eastAsia="仿宋_GB2312"/>
              </w:rPr>
              <w:t>2</w:t>
            </w:r>
          </w:p>
        </w:tc>
        <w:tc>
          <w:tcPr>
            <w:tcW w:type="dxa" w:w="1384"/>
          </w:tcPr>
          <w:p>
            <w:pPr>
              <w:pStyle w:val="null3"/>
            </w:pPr>
            <w:r>
              <w:rPr>
                <w:rFonts w:ascii="仿宋_GB2312" w:hAnsi="仿宋_GB2312" w:cs="仿宋_GB2312" w:eastAsia="仿宋_GB2312"/>
              </w:rPr>
              <w:t>遮阳棚</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标的名称：靶场防弹墙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5"/>
                <w:b/>
              </w:rPr>
              <w:t>项目规模</w:t>
            </w:r>
            <w:r>
              <w:rPr>
                <w:rFonts w:ascii="仿宋_GB2312" w:hAnsi="仿宋_GB2312" w:cs="仿宋_GB2312" w:eastAsia="仿宋_GB2312"/>
                <w:sz w:val="15"/>
              </w:rPr>
              <w:t>：</w:t>
            </w:r>
            <w:r>
              <w:rPr>
                <w:rFonts w:ascii="仿宋_GB2312" w:hAnsi="仿宋_GB2312" w:cs="仿宋_GB2312" w:eastAsia="仿宋_GB2312"/>
                <w:sz w:val="15"/>
              </w:rPr>
              <w:t>25米、50米射击靶场，前防弹墙高度约0.9米，后防弹墙高度约为2.5米，防弹墙总长度约为200米，厚度约为0.4米。管道安全防护设施，设置通道安全门结构，消防设施及安全门保护结构，</w:t>
            </w:r>
            <w:r>
              <w:rPr>
                <w:rFonts w:ascii="仿宋_GB2312" w:hAnsi="仿宋_GB2312" w:cs="仿宋_GB2312" w:eastAsia="仿宋_GB2312"/>
                <w:sz w:val="15"/>
              </w:rPr>
              <w:t>地面做20厚1:3聚合物水泥砂浆。</w:t>
            </w:r>
          </w:p>
          <w:p>
            <w:pPr>
              <w:pStyle w:val="null3"/>
              <w:jc w:val="left"/>
            </w:pPr>
            <w:r>
              <w:rPr>
                <w:rFonts w:ascii="仿宋_GB2312" w:hAnsi="仿宋_GB2312" w:cs="仿宋_GB2312" w:eastAsia="仿宋_GB2312"/>
                <w:sz w:val="15"/>
                <w:b/>
              </w:rPr>
              <w:t>结构形式</w:t>
            </w:r>
            <w:r>
              <w:rPr>
                <w:rFonts w:ascii="仿宋_GB2312" w:hAnsi="仿宋_GB2312" w:cs="仿宋_GB2312" w:eastAsia="仿宋_GB2312"/>
                <w:sz w:val="15"/>
              </w:rPr>
              <w:t>：采用水泥砌筑加方钢框架结构，外敷抗冲击能力强、良好防弹性能钢材，内填充吸能，阻燃，消声材料。墙体外层装饰吸音面板（符合射击场地标准，不影响射击瞄准）所使用材料达到环保节能要求，场地周边安全防护设施。</w:t>
            </w:r>
          </w:p>
          <w:p>
            <w:pPr>
              <w:pStyle w:val="null3"/>
              <w:jc w:val="left"/>
            </w:pPr>
            <w:r>
              <w:rPr>
                <w:rFonts w:ascii="仿宋_GB2312" w:hAnsi="仿宋_GB2312" w:cs="仿宋_GB2312" w:eastAsia="仿宋_GB2312"/>
                <w:sz w:val="15"/>
                <w:b/>
              </w:rPr>
              <w:t>使用功能</w:t>
            </w:r>
            <w:r>
              <w:rPr>
                <w:rFonts w:ascii="仿宋_GB2312" w:hAnsi="仿宋_GB2312" w:cs="仿宋_GB2312" w:eastAsia="仿宋_GB2312"/>
                <w:sz w:val="15"/>
              </w:rPr>
              <w:t>：防弹墙用于靶场训练、比赛，保护射击和人员安全，防弹墙应具有耐用性、易维护性、能确保长期使用的效果和安全性。</w:t>
            </w:r>
          </w:p>
          <w:p>
            <w:pPr>
              <w:pStyle w:val="null3"/>
              <w:jc w:val="left"/>
            </w:pPr>
            <w:r>
              <w:rPr>
                <w:rFonts w:ascii="仿宋_GB2312" w:hAnsi="仿宋_GB2312" w:cs="仿宋_GB2312" w:eastAsia="仿宋_GB2312"/>
                <w:sz w:val="15"/>
                <w:b/>
              </w:rPr>
              <w:t>建设标准</w:t>
            </w:r>
            <w:r>
              <w:rPr>
                <w:rFonts w:ascii="仿宋_GB2312" w:hAnsi="仿宋_GB2312" w:cs="仿宋_GB2312" w:eastAsia="仿宋_GB2312"/>
                <w:sz w:val="15"/>
              </w:rPr>
              <w:t>：符合国家靶场建设标准和相关规定</w:t>
            </w:r>
          </w:p>
          <w:p>
            <w:pPr>
              <w:pStyle w:val="null3"/>
              <w:jc w:val="left"/>
            </w:pPr>
            <w:r>
              <w:rPr>
                <w:rFonts w:ascii="仿宋_GB2312" w:hAnsi="仿宋_GB2312" w:cs="仿宋_GB2312" w:eastAsia="仿宋_GB2312"/>
                <w:sz w:val="15"/>
                <w:b/>
              </w:rPr>
              <w:t>设计要求</w:t>
            </w:r>
            <w:r>
              <w:rPr>
                <w:rFonts w:ascii="仿宋_GB2312" w:hAnsi="仿宋_GB2312" w:cs="仿宋_GB2312" w:eastAsia="仿宋_GB2312"/>
                <w:sz w:val="15"/>
              </w:rPr>
              <w:t>：防弹墙设计寿命</w:t>
            </w:r>
            <w:r>
              <w:rPr>
                <w:rFonts w:ascii="仿宋_GB2312" w:hAnsi="仿宋_GB2312" w:cs="仿宋_GB2312" w:eastAsia="仿宋_GB2312"/>
                <w:sz w:val="15"/>
              </w:rPr>
              <w:t>40年，能承受5.6㎜运动长弹300㎧射速，同点位5发子弹冲击力下无变形。</w:t>
            </w:r>
          </w:p>
          <w:p>
            <w:pPr>
              <w:pStyle w:val="null3"/>
              <w:jc w:val="both"/>
            </w:pPr>
            <w:r>
              <w:rPr>
                <w:rFonts w:ascii="仿宋_GB2312" w:hAnsi="仿宋_GB2312" w:cs="仿宋_GB2312" w:eastAsia="仿宋_GB2312"/>
                <w:sz w:val="15"/>
                <w:b/>
              </w:rPr>
              <w:t>工期（交货期）：</w:t>
            </w:r>
            <w:r>
              <w:rPr>
                <w:rFonts w:ascii="仿宋_GB2312" w:hAnsi="仿宋_GB2312" w:cs="仿宋_GB2312" w:eastAsia="仿宋_GB2312"/>
                <w:sz w:val="15"/>
              </w:rPr>
              <w:t>自合同签订之日起</w:t>
            </w:r>
            <w:r>
              <w:rPr>
                <w:rFonts w:ascii="仿宋_GB2312" w:hAnsi="仿宋_GB2312" w:cs="仿宋_GB2312" w:eastAsia="仿宋_GB2312"/>
                <w:sz w:val="15"/>
              </w:rPr>
              <w:t>45个日历日完成全部项目内容，并验收合格。</w:t>
            </w:r>
          </w:p>
          <w:p>
            <w:pPr>
              <w:pStyle w:val="null3"/>
              <w:jc w:val="left"/>
            </w:pPr>
          </w:p>
        </w:tc>
      </w:tr>
    </w:tbl>
    <w:p>
      <w:pPr>
        <w:pStyle w:val="null3"/>
      </w:pPr>
      <w:r>
        <w:rPr>
          <w:rFonts w:ascii="仿宋_GB2312" w:hAnsi="仿宋_GB2312" w:cs="仿宋_GB2312" w:eastAsia="仿宋_GB2312"/>
        </w:rPr>
        <w:t>标的名称：射箭场地隔断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rPr>
              <w:t>射箭场地隔断</w:t>
            </w:r>
            <w:r>
              <w:rPr>
                <w:rFonts w:ascii="仿宋_GB2312" w:hAnsi="仿宋_GB2312" w:cs="仿宋_GB2312" w:eastAsia="仿宋_GB2312"/>
                <w:sz w:val="15"/>
              </w:rPr>
              <w:t>60</w:t>
            </w:r>
            <w:r>
              <w:rPr>
                <w:rFonts w:ascii="仿宋_GB2312" w:hAnsi="仿宋_GB2312" w:cs="仿宋_GB2312" w:eastAsia="仿宋_GB2312"/>
                <w:sz w:val="15"/>
              </w:rPr>
              <w:t>m，高度3米，基础做C30钢筋混凝土独立柱基础每3米设置一个，上部做Q235B槽钢组合2mm厚不锈钢板。</w:t>
            </w:r>
            <w:r>
              <w:rPr>
                <w:rFonts w:ascii="仿宋_GB2312" w:hAnsi="仿宋_GB2312" w:cs="仿宋_GB2312" w:eastAsia="仿宋_GB2312"/>
                <w:sz w:val="15"/>
                <w:b/>
              </w:rPr>
              <w:t>工期（交货期）：</w:t>
            </w:r>
            <w:r>
              <w:rPr>
                <w:rFonts w:ascii="仿宋_GB2312" w:hAnsi="仿宋_GB2312" w:cs="仿宋_GB2312" w:eastAsia="仿宋_GB2312"/>
                <w:sz w:val="15"/>
              </w:rPr>
              <w:t>自合同签订之日起</w:t>
            </w:r>
            <w:r>
              <w:rPr>
                <w:rFonts w:ascii="仿宋_GB2312" w:hAnsi="仿宋_GB2312" w:cs="仿宋_GB2312" w:eastAsia="仿宋_GB2312"/>
                <w:sz w:val="15"/>
              </w:rPr>
              <w:t>45个日历日完成全部项目内容，并验收合格。</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标的名称：安全幕布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5"/>
              </w:rPr>
              <w:t>名称：幕布</w:t>
            </w:r>
          </w:p>
          <w:p>
            <w:pPr>
              <w:pStyle w:val="null3"/>
              <w:jc w:val="both"/>
            </w:pPr>
            <w:r>
              <w:rPr>
                <w:rFonts w:ascii="仿宋_GB2312" w:hAnsi="仿宋_GB2312" w:cs="仿宋_GB2312" w:eastAsia="仿宋_GB2312"/>
                <w:sz w:val="15"/>
              </w:rPr>
              <w:t>运行方式：牵引移动</w:t>
            </w:r>
          </w:p>
          <w:p>
            <w:pPr>
              <w:pStyle w:val="null3"/>
              <w:jc w:val="both"/>
            </w:pPr>
            <w:r>
              <w:rPr>
                <w:rFonts w:ascii="仿宋_GB2312" w:hAnsi="仿宋_GB2312" w:cs="仿宋_GB2312" w:eastAsia="仿宋_GB2312"/>
                <w:sz w:val="15"/>
              </w:rPr>
              <w:t>运行速度：0-0.5M/s</w:t>
            </w:r>
          </w:p>
          <w:p>
            <w:pPr>
              <w:pStyle w:val="null3"/>
              <w:jc w:val="both"/>
            </w:pPr>
            <w:r>
              <w:rPr>
                <w:rFonts w:ascii="仿宋_GB2312" w:hAnsi="仿宋_GB2312" w:cs="仿宋_GB2312" w:eastAsia="仿宋_GB2312"/>
                <w:sz w:val="15"/>
              </w:rPr>
              <w:t>动力安装位置：电动轨道</w:t>
            </w:r>
          </w:p>
          <w:p>
            <w:pPr>
              <w:pStyle w:val="null3"/>
              <w:jc w:val="both"/>
            </w:pPr>
            <w:r>
              <w:rPr>
                <w:rFonts w:ascii="仿宋_GB2312" w:hAnsi="仿宋_GB2312" w:cs="仿宋_GB2312" w:eastAsia="仿宋_GB2312"/>
                <w:sz w:val="15"/>
              </w:rPr>
              <w:t>安装位置：安装大厅顶部</w:t>
            </w:r>
          </w:p>
          <w:p>
            <w:pPr>
              <w:pStyle w:val="null3"/>
              <w:jc w:val="both"/>
            </w:pPr>
            <w:r>
              <w:rPr>
                <w:rFonts w:ascii="仿宋_GB2312" w:hAnsi="仿宋_GB2312" w:cs="仿宋_GB2312" w:eastAsia="仿宋_GB2312"/>
                <w:sz w:val="15"/>
              </w:rPr>
              <w:t>管径：12cm</w:t>
            </w:r>
          </w:p>
          <w:p>
            <w:pPr>
              <w:pStyle w:val="null3"/>
              <w:jc w:val="both"/>
            </w:pPr>
            <w:r>
              <w:rPr>
                <w:rFonts w:ascii="仿宋_GB2312" w:hAnsi="仿宋_GB2312" w:cs="仿宋_GB2312" w:eastAsia="仿宋_GB2312"/>
                <w:sz w:val="15"/>
              </w:rPr>
              <w:t>遥控器：多频</w:t>
            </w:r>
          </w:p>
          <w:p>
            <w:pPr>
              <w:pStyle w:val="null3"/>
              <w:jc w:val="both"/>
            </w:pPr>
            <w:r>
              <w:rPr>
                <w:rFonts w:ascii="仿宋_GB2312" w:hAnsi="仿宋_GB2312" w:cs="仿宋_GB2312" w:eastAsia="仿宋_GB2312"/>
                <w:sz w:val="15"/>
              </w:rPr>
              <w:t>电机：管状电容运转异步电动机</w:t>
            </w:r>
          </w:p>
          <w:p>
            <w:pPr>
              <w:pStyle w:val="null3"/>
              <w:jc w:val="both"/>
            </w:pPr>
            <w:r>
              <w:rPr>
                <w:rFonts w:ascii="仿宋_GB2312" w:hAnsi="仿宋_GB2312" w:cs="仿宋_GB2312" w:eastAsia="仿宋_GB2312"/>
                <w:sz w:val="15"/>
              </w:rPr>
              <w:t>轨道：铝合金</w:t>
            </w:r>
          </w:p>
          <w:p>
            <w:pPr>
              <w:pStyle w:val="null3"/>
              <w:jc w:val="both"/>
            </w:pPr>
            <w:r>
              <w:rPr>
                <w:rFonts w:ascii="仿宋_GB2312" w:hAnsi="仿宋_GB2312" w:cs="仿宋_GB2312" w:eastAsia="仿宋_GB2312"/>
                <w:sz w:val="15"/>
              </w:rPr>
              <w:t>杆体：灰色铝合金</w:t>
            </w:r>
          </w:p>
          <w:p>
            <w:pPr>
              <w:pStyle w:val="null3"/>
              <w:jc w:val="both"/>
            </w:pPr>
            <w:r>
              <w:rPr>
                <w:rFonts w:ascii="仿宋_GB2312" w:hAnsi="仿宋_GB2312" w:cs="仿宋_GB2312" w:eastAsia="仿宋_GB2312"/>
                <w:sz w:val="15"/>
              </w:rPr>
              <w:t>成分：100%polyester</w:t>
            </w:r>
          </w:p>
          <w:p>
            <w:pPr>
              <w:pStyle w:val="null3"/>
              <w:jc w:val="both"/>
            </w:pPr>
            <w:r>
              <w:rPr>
                <w:rFonts w:ascii="仿宋_GB2312" w:hAnsi="仿宋_GB2312" w:cs="仿宋_GB2312" w:eastAsia="仿宋_GB2312"/>
                <w:sz w:val="15"/>
              </w:rPr>
              <w:t>遮光率：100%</w:t>
            </w:r>
          </w:p>
          <w:p>
            <w:pPr>
              <w:pStyle w:val="null3"/>
              <w:jc w:val="both"/>
            </w:pPr>
            <w:r>
              <w:rPr>
                <w:rFonts w:ascii="仿宋_GB2312" w:hAnsi="仿宋_GB2312" w:cs="仿宋_GB2312" w:eastAsia="仿宋_GB2312"/>
                <w:sz w:val="15"/>
              </w:rPr>
              <w:t>毛边Rough ：None</w:t>
            </w:r>
          </w:p>
          <w:p>
            <w:pPr>
              <w:pStyle w:val="null3"/>
              <w:jc w:val="both"/>
            </w:pPr>
            <w:r>
              <w:rPr>
                <w:rFonts w:ascii="仿宋_GB2312" w:hAnsi="仿宋_GB2312" w:cs="仿宋_GB2312" w:eastAsia="仿宋_GB2312"/>
                <w:sz w:val="15"/>
              </w:rPr>
              <w:t>重量：320G</w:t>
            </w:r>
          </w:p>
          <w:p>
            <w:pPr>
              <w:pStyle w:val="null3"/>
              <w:jc w:val="both"/>
            </w:pPr>
            <w:r>
              <w:rPr>
                <w:rFonts w:ascii="仿宋_GB2312" w:hAnsi="仿宋_GB2312" w:cs="仿宋_GB2312" w:eastAsia="仿宋_GB2312"/>
                <w:sz w:val="15"/>
              </w:rPr>
              <w:t>色牢度：≥4.0</w:t>
            </w:r>
          </w:p>
          <w:p>
            <w:pPr>
              <w:pStyle w:val="null3"/>
              <w:jc w:val="both"/>
            </w:pPr>
            <w:r>
              <w:rPr>
                <w:rFonts w:ascii="仿宋_GB2312" w:hAnsi="仿宋_GB2312" w:cs="仿宋_GB2312" w:eastAsia="仿宋_GB2312"/>
                <w:sz w:val="15"/>
              </w:rPr>
              <w:t>厚度：0.35MM</w:t>
            </w:r>
          </w:p>
          <w:p>
            <w:pPr>
              <w:pStyle w:val="null3"/>
              <w:jc w:val="both"/>
            </w:pPr>
            <w:r>
              <w:rPr>
                <w:rFonts w:ascii="仿宋_GB2312" w:hAnsi="仿宋_GB2312" w:cs="仿宋_GB2312" w:eastAsia="仿宋_GB2312"/>
                <w:sz w:val="15"/>
              </w:rPr>
              <w:t>门幅：3米</w:t>
            </w:r>
          </w:p>
          <w:p>
            <w:pPr>
              <w:pStyle w:val="null3"/>
              <w:jc w:val="both"/>
            </w:pPr>
            <w:r>
              <w:rPr>
                <w:rFonts w:ascii="仿宋_GB2312" w:hAnsi="仿宋_GB2312" w:cs="仿宋_GB2312" w:eastAsia="仿宋_GB2312"/>
                <w:sz w:val="15"/>
              </w:rPr>
              <w:t>面积：1500平方米</w:t>
            </w:r>
          </w:p>
          <w:p>
            <w:pPr>
              <w:pStyle w:val="null3"/>
              <w:jc w:val="both"/>
            </w:pPr>
            <w:r>
              <w:rPr>
                <w:rFonts w:ascii="仿宋_GB2312" w:hAnsi="仿宋_GB2312" w:cs="仿宋_GB2312" w:eastAsia="仿宋_GB2312"/>
                <w:sz w:val="15"/>
              </w:rPr>
              <w:t>工期（交货期）：自合同签订之日起45个日历日完成全部项目内容，并</w:t>
            </w:r>
            <w:r>
              <w:rPr>
                <w:rFonts w:ascii="仿宋_GB2312" w:hAnsi="仿宋_GB2312" w:cs="仿宋_GB2312" w:eastAsia="仿宋_GB2312"/>
                <w:sz w:val="15"/>
              </w:rPr>
              <w:t>安装验收合格</w:t>
            </w:r>
            <w:r>
              <w:rPr>
                <w:rFonts w:ascii="仿宋_GB2312" w:hAnsi="仿宋_GB2312" w:cs="仿宋_GB2312" w:eastAsia="仿宋_GB2312"/>
                <w:sz w:val="15"/>
              </w:rPr>
              <w:t>交付采购人</w:t>
            </w:r>
          </w:p>
          <w:p>
            <w:pPr>
              <w:pStyle w:val="null3"/>
              <w:jc w:val="both"/>
            </w:pPr>
            <w:r>
              <w:rPr>
                <w:rFonts w:ascii="仿宋_GB2312" w:hAnsi="仿宋_GB2312" w:cs="仿宋_GB2312" w:eastAsia="仿宋_GB2312"/>
                <w:sz w:val="15"/>
              </w:rPr>
              <w:t>质保期：2年</w:t>
            </w:r>
          </w:p>
        </w:tc>
      </w:tr>
    </w:tbl>
    <w:p>
      <w:pPr>
        <w:pStyle w:val="null3"/>
      </w:pPr>
      <w:r>
        <w:rPr>
          <w:rFonts w:ascii="仿宋_GB2312" w:hAnsi="仿宋_GB2312" w:cs="仿宋_GB2312" w:eastAsia="仿宋_GB2312"/>
        </w:rPr>
        <w:t>标的名称：遮阳棚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5"/>
              </w:rPr>
              <w:t>名称：遮阳棚</w:t>
            </w:r>
          </w:p>
          <w:p>
            <w:pPr>
              <w:pStyle w:val="null3"/>
            </w:pPr>
            <w:r>
              <w:rPr>
                <w:rFonts w:ascii="仿宋_GB2312" w:hAnsi="仿宋_GB2312" w:cs="仿宋_GB2312" w:eastAsia="仿宋_GB2312"/>
                <w:sz w:val="15"/>
              </w:rPr>
              <w:t>曲臂 ：</w:t>
            </w:r>
          </w:p>
          <w:p>
            <w:pPr>
              <w:pStyle w:val="null3"/>
            </w:pPr>
            <w:r>
              <w:rPr>
                <w:rFonts w:ascii="仿宋_GB2312" w:hAnsi="仿宋_GB2312" w:cs="仿宋_GB2312" w:eastAsia="仿宋_GB2312"/>
                <w:sz w:val="15"/>
              </w:rPr>
              <w:t>1.全铝合金材质</w:t>
            </w:r>
          </w:p>
          <w:p>
            <w:pPr>
              <w:pStyle w:val="null3"/>
            </w:pPr>
            <w:r>
              <w:rPr>
                <w:rFonts w:ascii="仿宋_GB2312" w:hAnsi="仿宋_GB2312" w:cs="仿宋_GB2312" w:eastAsia="仿宋_GB2312"/>
                <w:sz w:val="15"/>
              </w:rPr>
              <w:t>2.关节处双钢丝链接</w:t>
            </w:r>
          </w:p>
          <w:p>
            <w:pPr>
              <w:pStyle w:val="null3"/>
            </w:pPr>
            <w:r>
              <w:rPr>
                <w:rFonts w:ascii="仿宋_GB2312" w:hAnsi="仿宋_GB2312" w:cs="仿宋_GB2312" w:eastAsia="仿宋_GB2312"/>
                <w:sz w:val="15"/>
              </w:rPr>
              <w:t>3.臂管及管接头加厚加粗</w:t>
            </w:r>
          </w:p>
          <w:p>
            <w:pPr>
              <w:pStyle w:val="null3"/>
            </w:pPr>
            <w:r>
              <w:rPr>
                <w:rFonts w:ascii="仿宋_GB2312" w:hAnsi="仿宋_GB2312" w:cs="仿宋_GB2312" w:eastAsia="仿宋_GB2312"/>
                <w:sz w:val="15"/>
              </w:rPr>
              <w:t>4.臂管大臂65*34mm，臂管小臂52*26mm,壁厚1.5mm，适用跨度≤3.5m</w:t>
            </w:r>
          </w:p>
          <w:p>
            <w:pPr>
              <w:pStyle w:val="null3"/>
            </w:pPr>
            <w:r>
              <w:rPr>
                <w:rFonts w:ascii="仿宋_GB2312" w:hAnsi="仿宋_GB2312" w:cs="仿宋_GB2312" w:eastAsia="仿宋_GB2312"/>
                <w:sz w:val="15"/>
              </w:rPr>
              <w:t>5.臂管材质：6063-T5"</w:t>
            </w:r>
          </w:p>
          <w:p>
            <w:pPr>
              <w:pStyle w:val="null3"/>
            </w:pPr>
            <w:r>
              <w:rPr>
                <w:rFonts w:ascii="仿宋_GB2312" w:hAnsi="仿宋_GB2312" w:cs="仿宋_GB2312" w:eastAsia="仿宋_GB2312"/>
                <w:sz w:val="15"/>
              </w:rPr>
              <w:t>后管 ：63碳钢管</w:t>
            </w:r>
          </w:p>
          <w:p>
            <w:pPr>
              <w:pStyle w:val="null3"/>
            </w:pPr>
            <w:r>
              <w:rPr>
                <w:rFonts w:ascii="仿宋_GB2312" w:hAnsi="仿宋_GB2312" w:cs="仿宋_GB2312" w:eastAsia="仿宋_GB2312"/>
                <w:sz w:val="15"/>
              </w:rPr>
              <w:t>前管：63波纹铝通（V槽）</w:t>
            </w:r>
          </w:p>
          <w:p>
            <w:pPr>
              <w:pStyle w:val="null3"/>
            </w:pPr>
            <w:r>
              <w:rPr>
                <w:rFonts w:ascii="仿宋_GB2312" w:hAnsi="仿宋_GB2312" w:cs="仿宋_GB2312" w:eastAsia="仿宋_GB2312"/>
                <w:sz w:val="15"/>
              </w:rPr>
              <w:t>机头：1:11手摇机头</w:t>
            </w:r>
          </w:p>
          <w:p>
            <w:pPr>
              <w:pStyle w:val="null3"/>
            </w:pPr>
            <w:r>
              <w:rPr>
                <w:rFonts w:ascii="仿宋_GB2312" w:hAnsi="仿宋_GB2312" w:cs="仿宋_GB2312" w:eastAsia="仿宋_GB2312"/>
                <w:sz w:val="15"/>
              </w:rPr>
              <w:t>边支架：烤漆工艺</w:t>
            </w:r>
          </w:p>
          <w:p>
            <w:pPr>
              <w:pStyle w:val="null3"/>
            </w:pPr>
            <w:r>
              <w:rPr>
                <w:rFonts w:ascii="仿宋_GB2312" w:hAnsi="仿宋_GB2312" w:cs="仿宋_GB2312" w:eastAsia="仿宋_GB2312"/>
                <w:sz w:val="15"/>
              </w:rPr>
              <w:t>手摇杆：白色</w:t>
            </w:r>
          </w:p>
          <w:p>
            <w:pPr>
              <w:pStyle w:val="null3"/>
            </w:pPr>
            <w:r>
              <w:rPr>
                <w:rFonts w:ascii="仿宋_GB2312" w:hAnsi="仿宋_GB2312" w:cs="仿宋_GB2312" w:eastAsia="仿宋_GB2312"/>
                <w:sz w:val="15"/>
              </w:rPr>
              <w:t>高日晒高防水面料：</w:t>
            </w:r>
          </w:p>
          <w:p>
            <w:pPr>
              <w:pStyle w:val="null3"/>
            </w:pPr>
            <w:r>
              <w:rPr>
                <w:rFonts w:ascii="仿宋_GB2312" w:hAnsi="仿宋_GB2312" w:cs="仿宋_GB2312" w:eastAsia="仿宋_GB2312"/>
                <w:sz w:val="15"/>
              </w:rPr>
              <w:t>1.耐磨耐用，抗撕裂性好。</w:t>
            </w:r>
          </w:p>
          <w:p>
            <w:pPr>
              <w:pStyle w:val="null3"/>
            </w:pPr>
            <w:r>
              <w:rPr>
                <w:rFonts w:ascii="仿宋_GB2312" w:hAnsi="仿宋_GB2312" w:cs="仿宋_GB2312" w:eastAsia="仿宋_GB2312"/>
                <w:sz w:val="15"/>
              </w:rPr>
              <w:t>2.防水涂层，100%防水</w:t>
            </w:r>
          </w:p>
          <w:p>
            <w:pPr>
              <w:pStyle w:val="null3"/>
            </w:pPr>
            <w:r>
              <w:rPr>
                <w:rFonts w:ascii="仿宋_GB2312" w:hAnsi="仿宋_GB2312" w:cs="仿宋_GB2312" w:eastAsia="仿宋_GB2312"/>
                <w:sz w:val="15"/>
              </w:rPr>
              <w:t>3.透射比平均值3.51%</w:t>
            </w:r>
          </w:p>
          <w:p>
            <w:pPr>
              <w:pStyle w:val="null3"/>
            </w:pPr>
            <w:r>
              <w:rPr>
                <w:rFonts w:ascii="仿宋_GB2312" w:hAnsi="仿宋_GB2312" w:cs="仿宋_GB2312" w:eastAsia="仿宋_GB2312"/>
                <w:sz w:val="15"/>
              </w:rPr>
              <w:t>4.两年质保不褪色</w:t>
            </w:r>
          </w:p>
          <w:p>
            <w:pPr>
              <w:pStyle w:val="null3"/>
            </w:pPr>
            <w:r>
              <w:rPr>
                <w:rFonts w:ascii="仿宋_GB2312" w:hAnsi="仿宋_GB2312" w:cs="仿宋_GB2312" w:eastAsia="仿宋_GB2312"/>
                <w:sz w:val="15"/>
              </w:rPr>
              <w:t>5.克重：305g/m</w:t>
            </w:r>
          </w:p>
          <w:p>
            <w:pPr>
              <w:pStyle w:val="null3"/>
            </w:pPr>
            <w:r>
              <w:rPr>
                <w:rFonts w:ascii="仿宋_GB2312" w:hAnsi="仿宋_GB2312" w:cs="仿宋_GB2312" w:eastAsia="仿宋_GB2312"/>
                <w:sz w:val="15"/>
              </w:rPr>
              <w:t>6.抗拉强度（N）：WARP：2700，WEFT：940</w:t>
            </w:r>
          </w:p>
          <w:p>
            <w:pPr>
              <w:pStyle w:val="null3"/>
            </w:pPr>
            <w:r>
              <w:rPr>
                <w:rFonts w:ascii="仿宋_GB2312" w:hAnsi="仿宋_GB2312" w:cs="仿宋_GB2312" w:eastAsia="仿宋_GB2312"/>
                <w:sz w:val="15"/>
              </w:rPr>
              <w:t>7.品名：涤纶弹丝牛津布</w:t>
            </w:r>
          </w:p>
          <w:p>
            <w:pPr>
              <w:pStyle w:val="null3"/>
            </w:pPr>
            <w:r>
              <w:rPr>
                <w:rFonts w:ascii="仿宋_GB2312" w:hAnsi="仿宋_GB2312" w:cs="仿宋_GB2312" w:eastAsia="仿宋_GB2312"/>
                <w:sz w:val="15"/>
              </w:rPr>
              <w:t>8.UPF&gt;50，UVA&lt;5%,UVB:0.05%"</w:t>
            </w:r>
          </w:p>
          <w:p>
            <w:pPr>
              <w:pStyle w:val="null3"/>
            </w:pPr>
            <w:r>
              <w:rPr>
                <w:rFonts w:ascii="仿宋_GB2312" w:hAnsi="仿宋_GB2312" w:cs="仿宋_GB2312" w:eastAsia="仿宋_GB2312"/>
                <w:sz w:val="15"/>
              </w:rPr>
              <w:t>工期（交货期）：自合同签订之日起45个日历日完成全部项目内容，并</w:t>
            </w:r>
            <w:r>
              <w:rPr>
                <w:rFonts w:ascii="仿宋_GB2312" w:hAnsi="仿宋_GB2312" w:cs="仿宋_GB2312" w:eastAsia="仿宋_GB2312"/>
                <w:sz w:val="15"/>
              </w:rPr>
              <w:t>安装验收合格</w:t>
            </w:r>
            <w:r>
              <w:rPr>
                <w:rFonts w:ascii="仿宋_GB2312" w:hAnsi="仿宋_GB2312" w:cs="仿宋_GB2312" w:eastAsia="仿宋_GB2312"/>
                <w:sz w:val="15"/>
              </w:rPr>
              <w:t>交付采购人</w:t>
            </w:r>
          </w:p>
          <w:p>
            <w:pPr>
              <w:pStyle w:val="null3"/>
              <w:jc w:val="both"/>
            </w:pPr>
            <w:r>
              <w:rPr>
                <w:rFonts w:ascii="仿宋_GB2312" w:hAnsi="仿宋_GB2312" w:cs="仿宋_GB2312" w:eastAsia="仿宋_GB2312"/>
                <w:sz w:val="15"/>
              </w:rPr>
              <w:t>质保期：2年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达到国家及行业现行技术规范标准，符合国家国家及行业验收合格标准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采购包1：合同签订后，支付本工程预付款合同总价款的30%，乙方材料全部进入现场支付至合同总价款的70%，施工完成并经甲方验收合格后，支付至合同总金额的100%。质保金待质量保修期满后一次性退还。各阶段付款前乙方即时提供合规发票，乙方未即时提供合规发票甲方付款期限顺延，且不承担任何责任。采购包2：合同签订后，乙方须按其响应文件中响应的工期按时交货完工并验收合格后，提供全额合规发票，达到付款条件起 30 日内，支付合同总金额的100.00%。若乙方未即时提供合规发票，甲方付款期限顺延，且不承担任何责任。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1、安装环境、配套工作和绿色、节能、环保要求及其他需说明的情况 ①成交供应商应严格遵守采购人的有关规章制度，施工人员进入施工现场应佩戴证件并穿戴必要的防护用品，配置齐全的检测维修设备设施、专业工具器械等（所有费用成交供应商自行承担）。施工期间必须严格按照有关规定，做好施工现场管理，做到安全施工、文明施工，防火、防电、防盗、防高空坠落，保证施工人员安全和其他工作人员安全，出现的一切人身伤亡事故和安全责任事故均由成交供应商负责；对于不按规定要求施工的，采购人有权中止其施工，不听劝阻的，将做罚款处理，直至停止施工。 ②施工现场要设置醒目的符合安全规定的安全警示标志、安全标语、夜间须设警示灯，设置标准及数量需满足安全法的相关规定，并设专人负责值班，作业现场有安全操作规章制度。 ③现场施工条件：施工前，根据成交供应商施工进度方案，采购人委派专人协调管理部门，协助成交供应商施工。成交供应商因施工需要需断电、断水等，应提前3-5日告知采购人，及时发布停电、停水公告。 ④成交供应商应做好场区内环境保护，防止环境污染。成交供应商使用任何机械前须经采购人同意；施工中不得污染周边环境；做好各类设施维护。任何因施工造成的环境破坏和污染，成交供应商都有责任采取措施予以防止和消除。由于成交供应商过失、疏忽或未按采购人指示做好环境保护工作导致需要另外采取环境保护措施，这部分额外工作的费用应由成交供应商负担。 ⑤在施工期间或竣工后，注意保护施工现场的环境卫生，工程施工中的垃圾要及时外运，不得在现场存放。工程竣工后，将施工垃圾全部清理完毕，做到工完、料净、场地清。 ⑥工程质量保修要求：成交供应商中标后应与采购人协商工程保修相关事项，并签订工程质量保修书。2、成交供应商需要提交响应文件正本壹份、副本贰份、电子版U盘贰份，标明供应商名称。递交地点:陕西省西安市高新区高新六路21号万象汇街区T6座1501。3、定标环节采购人有权对投标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供应商应提交的相关资格证明材料（包1）.docx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供应商应提交的相关资格证明材料（包1）.docx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供应商应提交的相关资格证明材料（包2）.docx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供应商应提交的相关资格证明材料（包2）.docx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企业赋码后的2024年财务审计报告[提供经审计的资产负债表、现金流量表、利润表(损益表)等资料复印件，提供的财务审计报告需在注册会计师行业统一监管平台(http://acc.mof.gov.cn/)可查询并提供网页截图(成立时间至提交响应文件截止时间不足一年的可提供成立后任意时段的资产负债表)]或提供响应文件截止时间前六个月内其基本账户开户银行出具的资信证明。</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提供投标截止时间前12个月内任意一个月的已缴存的社会保障资金缴存单据或社保机构开具的社会保险参保缴费情况证明，依法不需要缴纳社会保障资金的单位应提供相关证明材料。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税收缴纳证明：提供投标截止时间前12个月内任意一个月的纳税证明或完税证明（任意税种），依法免税的单位应提供相关证明材料。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具有履行合同所必需的设备和专业技术能力：具有履行合同所必需的设备和专业技术能力的说明及承诺。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具备建筑工程施工总承包三级及以上资质，同时须具有有效期内的《安全生产许可证》。</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拟派项目经理须具有建筑工程专业二级及以上注册建造师资格，具备有效的安全生产考核合格证书，且未担任其他在建工程的项目经理。</w:t>
            </w:r>
          </w:p>
        </w:tc>
        <w:tc>
          <w:tcPr>
            <w:tcW w:type="dxa" w:w="1661"/>
          </w:tcPr>
          <w:p>
            <w:pPr>
              <w:pStyle w:val="null3"/>
            </w:pPr>
            <w:r>
              <w:rPr>
                <w:rFonts w:ascii="仿宋_GB2312" w:hAnsi="仿宋_GB2312" w:cs="仿宋_GB2312" w:eastAsia="仿宋_GB2312"/>
              </w:rPr>
              <w:t>供应商应提交的相关资格证明材料（包1）.docx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企业赋码后的2024年财务审计报告[提供经审计的资产负债表、现金流量表、利润表(损益表)等资料复印件，提供的财务审计报告需在注册会计师行业统一监管平台(http://acc.mof.gov.cn/)可查询并提供网页截图(成立时间至提交响应文件截止时间不足一年的可提供成立后任意时段的资产负债表)]或提供响应文件截止时间前六个月内其基本账户开户银行出具的资信证明。</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提供投标截止时间前12个月内任意一个月的已缴存的社会保障资金缴存单据或社保机构开具的社会保险参保缴费情况证明，依法不需要缴纳社会保障资金的单位应提供相关证明材料。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税收缴纳证明：提供投标截止时间前12个月内任意一个月的纳税证明或完税证明（任意税种），依法免税的单位应提供相关证明材料。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具有履行合同所必需的设备和专业技术能力：具有履行合同所必需的设备和专业技术能力的说明及承诺。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报价函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已标价工程量清单 供应商应提交的相关资格证明材料（包1）.docx 报价函 技术服务合同条款及其他商务要求应答表 响应函 投标方案及其他.docx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政府采购供应商拒绝政府采购领域商业贿赂承诺书.docx 已标价工程量清单 供应商应提交的相关资格证明材料（包1）.docx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其他无效情形1.响应文件有效期2.响应文件格式3.备选方案4.响应文件内容5.技术响应6.履行期限和交货地点7.质保期8.付款方式</w:t>
            </w:r>
          </w:p>
        </w:tc>
        <w:tc>
          <w:tcPr>
            <w:tcW w:type="dxa" w:w="3322"/>
          </w:tcPr>
          <w:p>
            <w:pPr>
              <w:pStyle w:val="null3"/>
            </w:pPr>
            <w:r>
              <w:rPr>
                <w:rFonts w:ascii="仿宋_GB2312" w:hAnsi="仿宋_GB2312" w:cs="仿宋_GB2312" w:eastAsia="仿宋_GB2312"/>
              </w:rPr>
              <w:t>无法律、法规和磋商文件规定的其他无效情形；1.有效期满足磋商文件要求的；2.响应文件按规定的格式填写，内容完整且关键字迹清晰；3.供应商不得提交两份或者多份内容不同的响应文件，或者在同一份响应文件中对同一项目有两个或者多个报价；4.符合“采购需求”要求，无重大偏差；5.满足磋商文件要求；6.履行期限、交货地点、质保期、付款方式，响应文件无负偏差</w:t>
            </w:r>
          </w:p>
        </w:tc>
        <w:tc>
          <w:tcPr>
            <w:tcW w:type="dxa" w:w="1661"/>
          </w:tcPr>
          <w:p>
            <w:pPr>
              <w:pStyle w:val="null3"/>
            </w:pPr>
            <w:r>
              <w:rPr>
                <w:rFonts w:ascii="仿宋_GB2312" w:hAnsi="仿宋_GB2312" w:cs="仿宋_GB2312" w:eastAsia="仿宋_GB2312"/>
              </w:rPr>
              <w:t>响应文件封面 政府采购供应商拒绝政府采购领域商业贿赂承诺书.docx 已标价工程量清单 供应商应提交的相关资格证明材料（包1）.docx 中小企业声明函 报价函 技术服务合同条款及其他商务要求应答表 标的清单 响应函 投标方案及其他.docx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报价函 标的清单 分项报价表包二.docx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供应商应提交的相关资格证明材料（包2）.docx 报价函 技术服务合同条款及其他商务要求应答表 响应函 投标方案及其他.docx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政府采购供应商拒绝政府采购领域商业贿赂承诺书.docx 响应文件封面 供应商应提交的相关资格证明材料（包2）.docx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其他无效情形1.响应文件有效期2.响应文件格式3.备选方案4.响应文件内容5.技术响应6.履行期限和交货地点7.质保期8.付款方式</w:t>
            </w:r>
          </w:p>
        </w:tc>
        <w:tc>
          <w:tcPr>
            <w:tcW w:type="dxa" w:w="3322"/>
          </w:tcPr>
          <w:p>
            <w:pPr>
              <w:pStyle w:val="null3"/>
            </w:pPr>
            <w:r>
              <w:rPr>
                <w:rFonts w:ascii="仿宋_GB2312" w:hAnsi="仿宋_GB2312" w:cs="仿宋_GB2312" w:eastAsia="仿宋_GB2312"/>
              </w:rPr>
              <w:t>无法律、法规和磋商文件规定的其他无效情形；1.有效期满足磋商文件要求的；2.响应文件按规定的格式填写，内容完整且关键字迹清晰；3.供应商不得提交两份或者多份内容不同的响应文件，或者在同一份响应文件中对同一项目有两个或者多个报价；4.符合“采购需求”要求，无重大偏差；5.满足磋商文件要求；6.履行期限、交货地点、质保期、付款方式，响应文件无负偏差</w:t>
            </w:r>
          </w:p>
        </w:tc>
        <w:tc>
          <w:tcPr>
            <w:tcW w:type="dxa" w:w="1661"/>
          </w:tcPr>
          <w:p>
            <w:pPr>
              <w:pStyle w:val="null3"/>
            </w:pPr>
            <w:r>
              <w:rPr>
                <w:rFonts w:ascii="仿宋_GB2312" w:hAnsi="仿宋_GB2312" w:cs="仿宋_GB2312" w:eastAsia="仿宋_GB2312"/>
              </w:rPr>
              <w:t>响应文件封面 政府采购供应商拒绝政府采购领域商业贿赂承诺书.docx 供应商应提交的相关资格证明材料（包2）.docx 中小企业声明函 报价函 技术服务合同条款及其他商务要求应答表 标的清单 响应函 投标方案及其他.docx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供应商提供自2022年1月至今承接的类似业绩证明材料，每提供1项得2分，满分6分。 注：业绩证明材料为加盖供应商公章的合同复印件或扫描件，时间以合同签订时间为准，缺少资料或未按照上述要求提供的，均按照0分计入。</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主要材料要求</w:t>
            </w:r>
          </w:p>
        </w:tc>
        <w:tc>
          <w:tcPr>
            <w:tcW w:type="dxa" w:w="2492"/>
          </w:tcPr>
          <w:p>
            <w:pPr>
              <w:pStyle w:val="null3"/>
            </w:pPr>
            <w:r>
              <w:rPr>
                <w:rFonts w:ascii="仿宋_GB2312" w:hAnsi="仿宋_GB2312" w:cs="仿宋_GB2312" w:eastAsia="仿宋_GB2312"/>
              </w:rPr>
              <w:t>供应商需针对本项目提供项目的主材清单（清单内容包括但不限于材料名称、品牌、规格、材质等）技术参数性能证明材料等资料，根据提供内容的完整程度进行综合评分：①提供主材及清单内容完整齐全，技术参数性能完全满足采购人要求根据响应情况得5分； ②提供主材及清单内容基本齐全，技术参数性能基本满足采购人要求根据响应情况得3分； ③未提供得0分。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供应商针对本项目在质量保修期内如出现质量问题的解决措施、解决问题的响应时效等进行说明</w:t>
            </w:r>
          </w:p>
        </w:tc>
        <w:tc>
          <w:tcPr>
            <w:tcW w:type="dxa" w:w="2492"/>
          </w:tcPr>
          <w:p>
            <w:pPr>
              <w:pStyle w:val="null3"/>
            </w:pPr>
            <w:r>
              <w:rPr>
                <w:rFonts w:ascii="仿宋_GB2312" w:hAnsi="仿宋_GB2312" w:cs="仿宋_GB2312" w:eastAsia="仿宋_GB2312"/>
              </w:rPr>
              <w:t>①措施明确可行、响应时效迅速及时得7分； ②措施有缺失或可行性一般得3分； ③未提供不得分。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方案</w:t>
            </w:r>
          </w:p>
        </w:tc>
        <w:tc>
          <w:tcPr>
            <w:tcW w:type="dxa" w:w="2492"/>
          </w:tcPr>
          <w:p>
            <w:pPr>
              <w:pStyle w:val="null3"/>
            </w:pPr>
            <w:r>
              <w:rPr>
                <w:rFonts w:ascii="仿宋_GB2312" w:hAnsi="仿宋_GB2312" w:cs="仿宋_GB2312" w:eastAsia="仿宋_GB2312"/>
              </w:rPr>
              <w:t>①未提供方案得 0 分； ②方案不完整或部分合理的得3分； ③针对本工程现场实际情况的方案完整、合理得6分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①未提供措施得 0 分； ②措施不完整或部分合理的得3 分； ③针对本项目现场实际情况的措施完整、合理得7分。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确保安全生产的技术组织措施（包括人员安全防控技术组织措施，包括但不限于以下内容：外来人员排查管理、现场安全作业封闭管理、应急措施等方面）</w:t>
            </w:r>
          </w:p>
        </w:tc>
        <w:tc>
          <w:tcPr>
            <w:tcW w:type="dxa" w:w="2492"/>
          </w:tcPr>
          <w:p>
            <w:pPr>
              <w:pStyle w:val="null3"/>
            </w:pPr>
            <w:r>
              <w:rPr>
                <w:rFonts w:ascii="仿宋_GB2312" w:hAnsi="仿宋_GB2312" w:cs="仿宋_GB2312" w:eastAsia="仿宋_GB2312"/>
              </w:rPr>
              <w:t>①未提供技术组织措施得 0 分； ②技术组织措施不完整或部分合理的得3分； ③针对本项目现场实际情况的技术组织措施基本完整、合理得4分； ④针对本项目现场实际情况的技术组织措施完整、合理、可行得7分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①未提供措得 0 分； ②措不完整或部分合理的得2分； ③针对本工程现场实际情况的措完整、合理得5分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①未提供措得0分； ②措不完整或部分合理的得2分； ③针对本工程现场实际情况的措完整、合理得5分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①未提供计划得 0 分； ②计划不完整或部分合理的得 1 分； ③针对本工程现场实际情况的计划完整、合理得4分。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项目进展情况汇报、沟通措施</w:t>
            </w:r>
          </w:p>
        </w:tc>
        <w:tc>
          <w:tcPr>
            <w:tcW w:type="dxa" w:w="2492"/>
          </w:tcPr>
          <w:p>
            <w:pPr>
              <w:pStyle w:val="null3"/>
            </w:pPr>
            <w:r>
              <w:rPr>
                <w:rFonts w:ascii="仿宋_GB2312" w:hAnsi="仿宋_GB2312" w:cs="仿宋_GB2312" w:eastAsia="仿宋_GB2312"/>
              </w:rPr>
              <w:t>①未提供措施得 0 分； ②措施不完整或部分合理的得 2分； ③针对本工程现场实际情况的措施完整、合理得5分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突发、应急事项处理措施</w:t>
            </w:r>
          </w:p>
        </w:tc>
        <w:tc>
          <w:tcPr>
            <w:tcW w:type="dxa" w:w="2492"/>
          </w:tcPr>
          <w:p>
            <w:pPr>
              <w:pStyle w:val="null3"/>
            </w:pPr>
            <w:r>
              <w:rPr>
                <w:rFonts w:ascii="仿宋_GB2312" w:hAnsi="仿宋_GB2312" w:cs="仿宋_GB2312" w:eastAsia="仿宋_GB2312"/>
              </w:rPr>
              <w:t>①未提供措施得 0 分； ②措施不完整或部分合理的得 2 分； ③针对本工程现场实际情况的措施完整、合理得4分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及时有效响应甲方管理及监督的措施</w:t>
            </w:r>
          </w:p>
        </w:tc>
        <w:tc>
          <w:tcPr>
            <w:tcW w:type="dxa" w:w="2492"/>
          </w:tcPr>
          <w:p>
            <w:pPr>
              <w:pStyle w:val="null3"/>
            </w:pPr>
            <w:r>
              <w:rPr>
                <w:rFonts w:ascii="仿宋_GB2312" w:hAnsi="仿宋_GB2312" w:cs="仿宋_GB2312" w:eastAsia="仿宋_GB2312"/>
              </w:rPr>
              <w:t>①未提供措施得 0 分； ②措施不完整或部分合理的得2 分； ③针对本工程现场实际情况的措施完整、合理得5分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项目经理部人员组成</w:t>
            </w:r>
          </w:p>
        </w:tc>
        <w:tc>
          <w:tcPr>
            <w:tcW w:type="dxa" w:w="2492"/>
          </w:tcPr>
          <w:p>
            <w:pPr>
              <w:pStyle w:val="null3"/>
            </w:pPr>
            <w:r>
              <w:rPr>
                <w:rFonts w:ascii="仿宋_GB2312" w:hAnsi="仿宋_GB2312" w:cs="仿宋_GB2312" w:eastAsia="仿宋_GB2312"/>
              </w:rPr>
              <w:t>①未提供得 0 分； ②人员组成安排不完整或部分合理的得 1 分； ③人员组成安排完整、合理得4分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满足磋商文件要求且最后磋商价格最低的磋商报价为磋商基准价，其价格分为满分。其他供应商的价格分统一按照下列公式计算：磋商报价得分=（磋商基准价/磋商报价）×30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供应商提供自2022年1月至今承接的类似业绩证明材料，每提供1项得2分，满分6分。 注：业绩证明材料为加盖供应商公章的合同复印件或扫描件，时间以合同签订时间为准，缺少资料或未按照上述要求提供的，均按照0分计入。</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主要材料要求</w:t>
            </w:r>
          </w:p>
        </w:tc>
        <w:tc>
          <w:tcPr>
            <w:tcW w:type="dxa" w:w="2492"/>
          </w:tcPr>
          <w:p>
            <w:pPr>
              <w:pStyle w:val="null3"/>
            </w:pPr>
            <w:r>
              <w:rPr>
                <w:rFonts w:ascii="仿宋_GB2312" w:hAnsi="仿宋_GB2312" w:cs="仿宋_GB2312" w:eastAsia="仿宋_GB2312"/>
              </w:rPr>
              <w:t>供应商需针对本项目提供项目的主材清单（清单内容包括但不限于材料名称、品牌、规格、材质等）技术参数性能证明材料等资料，根据提供内容的完整程度进行综合评分：①提供主材及清单内容完整齐全，技术参数性能完全满足采购人要求根据响应情况得5分； ②提供主材及清单内容基本齐全，技术参数性能基本满足采购人要求根据响应情况得3分； ③未提供得0分。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供应商针对本项目在质量保修期内如出现质量问题的解决措施、解决问题的响应时效等进行说明</w:t>
            </w:r>
          </w:p>
        </w:tc>
        <w:tc>
          <w:tcPr>
            <w:tcW w:type="dxa" w:w="2492"/>
          </w:tcPr>
          <w:p>
            <w:pPr>
              <w:pStyle w:val="null3"/>
            </w:pPr>
            <w:r>
              <w:rPr>
                <w:rFonts w:ascii="仿宋_GB2312" w:hAnsi="仿宋_GB2312" w:cs="仿宋_GB2312" w:eastAsia="仿宋_GB2312"/>
              </w:rPr>
              <w:t>①措施明确可行、响应时效迅速及时得7分； ②措施有缺失或可行性一般得3分； ③未提供不得分。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方案</w:t>
            </w:r>
          </w:p>
        </w:tc>
        <w:tc>
          <w:tcPr>
            <w:tcW w:type="dxa" w:w="2492"/>
          </w:tcPr>
          <w:p>
            <w:pPr>
              <w:pStyle w:val="null3"/>
            </w:pPr>
            <w:r>
              <w:rPr>
                <w:rFonts w:ascii="仿宋_GB2312" w:hAnsi="仿宋_GB2312" w:cs="仿宋_GB2312" w:eastAsia="仿宋_GB2312"/>
              </w:rPr>
              <w:t>①未提供方案得 0 分； ②方案不完整或部分合理的得3分； ③针对本工程现场实际情况的方案完整、合理得6分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①未提供措施得 0 分； ②措施不完整或部分合理的得3 分； ③针对本项目现场实际情况的措施完整、合理得7分。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确保安全生产的技术组织措施（包括人员安全防控技术组织措施，包括但不限于以下内容：外来人员排查管理、现场安全作业封闭管理、应急措施等方面）</w:t>
            </w:r>
          </w:p>
        </w:tc>
        <w:tc>
          <w:tcPr>
            <w:tcW w:type="dxa" w:w="2492"/>
          </w:tcPr>
          <w:p>
            <w:pPr>
              <w:pStyle w:val="null3"/>
            </w:pPr>
            <w:r>
              <w:rPr>
                <w:rFonts w:ascii="仿宋_GB2312" w:hAnsi="仿宋_GB2312" w:cs="仿宋_GB2312" w:eastAsia="仿宋_GB2312"/>
              </w:rPr>
              <w:t>①未提供技术组织措施得 0 分； ②技术组织措施不完整或部分合理的得3分； ③针对本项目现场实际情况的技术组织措施基本完整、合理得4分； ④针对本项目现场实际情况的技术组织措施完整、合理、可行得7分。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①未提供措得 0 分； ②措不完整或部分合理的得2分； ③针对本工程现场实际情况的措完整、合理得5分。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①未提供措得0分； ②措不完整或部分合理的得2分； ③针对本工程现场实际情况的措完整、合理得5分。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①未提供计划得 0 分； ②计划不完整或部分合理的得 1 分； ③针对本工程现场实际情况的计划完整、合理得4分。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项目进展情况汇报、沟通措施</w:t>
            </w:r>
          </w:p>
        </w:tc>
        <w:tc>
          <w:tcPr>
            <w:tcW w:type="dxa" w:w="2492"/>
          </w:tcPr>
          <w:p>
            <w:pPr>
              <w:pStyle w:val="null3"/>
            </w:pPr>
            <w:r>
              <w:rPr>
                <w:rFonts w:ascii="仿宋_GB2312" w:hAnsi="仿宋_GB2312" w:cs="仿宋_GB2312" w:eastAsia="仿宋_GB2312"/>
              </w:rPr>
              <w:t>①未提供措施得 0 分； ②措施不完整或部分合理的得 2分； ③针对本工程现场实际情况的措施完整、合理得5分。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突发、应急事项处理措施</w:t>
            </w:r>
          </w:p>
        </w:tc>
        <w:tc>
          <w:tcPr>
            <w:tcW w:type="dxa" w:w="2492"/>
          </w:tcPr>
          <w:p>
            <w:pPr>
              <w:pStyle w:val="null3"/>
            </w:pPr>
            <w:r>
              <w:rPr>
                <w:rFonts w:ascii="仿宋_GB2312" w:hAnsi="仿宋_GB2312" w:cs="仿宋_GB2312" w:eastAsia="仿宋_GB2312"/>
              </w:rPr>
              <w:t>①未提供措施得 0 分； ②措施不完整或部分合理的得 2 分； ③针对本工程现场实际情况的措施完整、合理得4分。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及时有效响应甲方管理及监督的措施</w:t>
            </w:r>
          </w:p>
        </w:tc>
        <w:tc>
          <w:tcPr>
            <w:tcW w:type="dxa" w:w="2492"/>
          </w:tcPr>
          <w:p>
            <w:pPr>
              <w:pStyle w:val="null3"/>
            </w:pPr>
            <w:r>
              <w:rPr>
                <w:rFonts w:ascii="仿宋_GB2312" w:hAnsi="仿宋_GB2312" w:cs="仿宋_GB2312" w:eastAsia="仿宋_GB2312"/>
              </w:rPr>
              <w:t>①未提供措施得 0 分； ②措施不完整或部分合理的得 2 分； ③针对本工程现场实际情况的措施完整、合理得5分。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拟投入人员组成</w:t>
            </w:r>
          </w:p>
        </w:tc>
        <w:tc>
          <w:tcPr>
            <w:tcW w:type="dxa" w:w="2492"/>
          </w:tcPr>
          <w:p>
            <w:pPr>
              <w:pStyle w:val="null3"/>
            </w:pPr>
            <w:r>
              <w:rPr>
                <w:rFonts w:ascii="仿宋_GB2312" w:hAnsi="仿宋_GB2312" w:cs="仿宋_GB2312" w:eastAsia="仿宋_GB2312"/>
              </w:rPr>
              <w:t>①未提供得 0 分； ②人员组成安排不完整或部分合理的得 1 分； ③人员组成安排完整、合理得4分。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投标方案及其他.docx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满足磋商文件要求且最后磋商价格最低的磋商报价为磋商基准价，其价格分为满分。其他供应商的价格分统一按照下列公式计算：磋商报价得分=（磋商基准价/磋商报价）×30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详见附件：供应商应提交的相关资格证明材料（包1）.docx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详见附件：投标方案及其他.docx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详见附件：供应商应提交的相关资格证明材料（包2）.docx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详见附件：投标方案及其他.docx</w:t>
      </w:r>
    </w:p>
    <w:p>
      <w:pPr>
        <w:pStyle w:val="null3"/>
        <w:ind w:firstLine="960"/>
      </w:pPr>
      <w:r>
        <w:rPr>
          <w:rFonts w:ascii="仿宋_GB2312" w:hAnsi="仿宋_GB2312" w:cs="仿宋_GB2312" w:eastAsia="仿宋_GB2312"/>
        </w:rPr>
        <w:t>详见附件：分项报价表包二.docx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详见附件：进驻新中心场地防弹墙及安全幕布等相关设备购置合同.docx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