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版本号：SXDZ2025-ZC-GK02320250717001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2025年度西安重点工业园区挥发性有机物空气质量自动监测站运维</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SXDZ2025-ZC-GK023</w:t>
      </w:r>
      <w:r>
        <w:br/>
      </w:r>
      <w:r>
        <w:br/>
      </w:r>
      <w:r>
        <w:br/>
      </w:r>
    </w:p>
    <w:p>
      <w:pPr>
        <w:pStyle w:val="null3"/>
        <w:jc w:val="center"/>
        <w:outlineLvl w:val="2"/>
      </w:pPr>
      <w:r>
        <w:rPr>
          <w:rFonts w:ascii="仿宋_GB2312" w:hAnsi="仿宋_GB2312" w:cs="仿宋_GB2312" w:eastAsia="仿宋_GB2312"/>
          <w:sz w:val="28"/>
          <w:b/>
        </w:rPr>
        <w:t>西安市环境监测站</w:t>
      </w:r>
    </w:p>
    <w:p>
      <w:pPr>
        <w:pStyle w:val="null3"/>
        <w:jc w:val="center"/>
        <w:outlineLvl w:val="2"/>
      </w:pPr>
      <w:r>
        <w:rPr>
          <w:rFonts w:ascii="仿宋_GB2312" w:hAnsi="仿宋_GB2312" w:cs="仿宋_GB2312" w:eastAsia="仿宋_GB2312"/>
          <w:sz w:val="28"/>
          <w:b/>
        </w:rPr>
        <w:t>陕西东卓项目管理有限公司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陕西东卓项目管理有限公司</w:t>
      </w:r>
      <w:r>
        <w:rPr>
          <w:rFonts w:ascii="仿宋_GB2312" w:hAnsi="仿宋_GB2312" w:cs="仿宋_GB2312" w:eastAsia="仿宋_GB2312"/>
        </w:rPr>
        <w:t>（以下简称“代理机构”）受</w:t>
      </w:r>
      <w:r>
        <w:rPr>
          <w:rFonts w:ascii="仿宋_GB2312" w:hAnsi="仿宋_GB2312" w:cs="仿宋_GB2312" w:eastAsia="仿宋_GB2312"/>
        </w:rPr>
        <w:t>西安市环境监测站</w:t>
      </w:r>
      <w:r>
        <w:rPr>
          <w:rFonts w:ascii="仿宋_GB2312" w:hAnsi="仿宋_GB2312" w:cs="仿宋_GB2312" w:eastAsia="仿宋_GB2312"/>
        </w:rPr>
        <w:t>委托，拟对</w:t>
      </w:r>
      <w:r>
        <w:rPr>
          <w:rFonts w:ascii="仿宋_GB2312" w:hAnsi="仿宋_GB2312" w:cs="仿宋_GB2312" w:eastAsia="仿宋_GB2312"/>
        </w:rPr>
        <w:t>2025年度西安重点工业园区挥发性有机物空气质量自动监测站运维</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SXDZ2025-ZC-GK023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2025年度西安重点工业园区挥发性有机物空气质量自动监测站运维</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采取委托第三方运行维护方式将对鄠邑沣京工业园和蓝田西北家具工业园2个园区，2个园区中心站、8个园区边界站的共计10个VOCs自动监测站进行运行维护，确保站内仪器、软件平台和辅助设施的正常、稳定、连续运行，并能按要求与国家、省、市环保部门联网、传输或发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1、投标主体：投标人需提供有效合格的具有统一社会信用代码的营业执照，其他组织经营的须提供合法凭证，自然人提供身份证明文件。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2、身份证明 ：法定代表人参加投标的，须提供本人身份证加盖公章的复印件；法定代表人授权他人参加投标的，须提供法定代表人授权委托书及被授权代表的身份证复印件。</w:t>
      </w:r>
    </w:p>
    <w:p>
      <w:pPr>
        <w:pStyle w:val="null3"/>
      </w:pPr>
      <w:r>
        <w:rPr>
          <w:rFonts w:ascii="仿宋_GB2312" w:hAnsi="仿宋_GB2312" w:cs="仿宋_GB2312" w:eastAsia="仿宋_GB2312"/>
        </w:rPr>
        <w:t>3、财务状况报告 ：提供2024年度经审计的财务会计报告（包括“四表一注”，即资产负债表、利润表、现金流量表、所有者权益变动表及其附注）；成立时间至提交投标文件截止时间不足一年的可提供成立后任意时段的资产负债表或投标截止时间前三个月内基本存款账户开户银行出具的资信证明文件及基本存款账户开户许可证（无基本存款账户开户许可证可提供其基本存款账户信息证明）。</w:t>
      </w:r>
    </w:p>
    <w:p>
      <w:pPr>
        <w:pStyle w:val="null3"/>
      </w:pPr>
      <w:r>
        <w:rPr>
          <w:rFonts w:ascii="仿宋_GB2312" w:hAnsi="仿宋_GB2312" w:cs="仿宋_GB2312" w:eastAsia="仿宋_GB2312"/>
        </w:rPr>
        <w:t>4、社会保障资金缴纳证明 ：提供供应商2024年1月1日以来任意三个月已缴纳的社会保障资金缴存单据或社保机构开具的社会保险参保缴费情况证明；依法不需要缴纳社会保障资金的供应商应提供加盖公章的相关证明文件。</w:t>
      </w:r>
    </w:p>
    <w:p>
      <w:pPr>
        <w:pStyle w:val="null3"/>
      </w:pPr>
      <w:r>
        <w:rPr>
          <w:rFonts w:ascii="仿宋_GB2312" w:hAnsi="仿宋_GB2312" w:cs="仿宋_GB2312" w:eastAsia="仿宋_GB2312"/>
        </w:rPr>
        <w:t>5、税收缴纳证明 ：提供供应商2024年1月1日以来任意三个月已缴纳的纳税证明或完税证明（至少包含增值税或企业所得税），依法免税的供应商应提供加盖公章的相关证明文件。</w:t>
      </w:r>
    </w:p>
    <w:p>
      <w:pPr>
        <w:pStyle w:val="null3"/>
      </w:pPr>
      <w:r>
        <w:rPr>
          <w:rFonts w:ascii="仿宋_GB2312" w:hAnsi="仿宋_GB2312" w:cs="仿宋_GB2312" w:eastAsia="仿宋_GB2312"/>
        </w:rPr>
        <w:t>6、履行合同能力的证明材料 ：具备履行合同所必需的设备和专业技术能力的证明材料(由供应商根据项目需求提供说明材料或者承诺)。</w:t>
      </w:r>
    </w:p>
    <w:p>
      <w:pPr>
        <w:pStyle w:val="null3"/>
      </w:pPr>
      <w:r>
        <w:rPr>
          <w:rFonts w:ascii="仿宋_GB2312" w:hAnsi="仿宋_GB2312" w:cs="仿宋_GB2312" w:eastAsia="仿宋_GB2312"/>
        </w:rPr>
        <w:t>7、书面信用声明 ：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pPr>
        <w:pStyle w:val="null3"/>
      </w:pPr>
      <w:r>
        <w:rPr>
          <w:rFonts w:ascii="仿宋_GB2312" w:hAnsi="仿宋_GB2312" w:cs="仿宋_GB2312" w:eastAsia="仿宋_GB2312"/>
        </w:rPr>
        <w:t>8、控股、管理关系 ：单位负责人为同一人或者存在直接控股、管理关系的不同供应商，不得参加本次采购活动。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西安市环境监测站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西安市长安区建业三路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西安市环境监测站经办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029-85910165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陕西东卓项目管理有限公司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西安市大兴东路29号御笔城市广场（2号电梯）4层408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刘金杰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029-86637322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招标代理服务收费管理暂行办法》（计价格[2002]1980号）、《国家发展改革委办公厅关于招标代理服务收费有关问题的通知》（发改办价格[2003]857号）、《国家发展改革委关于降低部分建设项目收费标准规范收费行为等有关问题的通知》（发改办价格[2011]534号）的有关规定收取招标代理服务费。 接收代理服务费账户名称：陕西东卓项目管理有限公司 开户银行：中国银行股份有限公司西安市经济技术开发区支行 账 号：102494375315 转账事由：（项目名称）代理服务费 咨询电话：029-86637322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西安市环境监测站</w:t>
      </w:r>
      <w:r>
        <w:rPr>
          <w:rFonts w:ascii="仿宋_GB2312" w:hAnsi="仿宋_GB2312" w:cs="仿宋_GB2312" w:eastAsia="仿宋_GB2312"/>
        </w:rPr>
        <w:t>和</w:t>
      </w:r>
      <w:r>
        <w:rPr>
          <w:rFonts w:ascii="仿宋_GB2312" w:hAnsi="仿宋_GB2312" w:cs="仿宋_GB2312" w:eastAsia="仿宋_GB2312"/>
        </w:rPr>
        <w:t>陕西东卓项目管理有限公司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西安市环境监测站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陕西东卓项目管理有限公司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西安市环境监测站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陕西东卓项目管理有限公司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联系人：刘金杰</w:t>
      </w:r>
    </w:p>
    <w:p>
      <w:pPr>
        <w:pStyle w:val="null3"/>
      </w:pPr>
      <w:r>
        <w:rPr>
          <w:rFonts w:ascii="仿宋_GB2312" w:hAnsi="仿宋_GB2312" w:cs="仿宋_GB2312" w:eastAsia="仿宋_GB2312"/>
        </w:rPr>
        <w:t>联系电话：029-86637322</w:t>
      </w:r>
    </w:p>
    <w:p>
      <w:pPr>
        <w:pStyle w:val="null3"/>
      </w:pPr>
      <w:r>
        <w:rPr>
          <w:rFonts w:ascii="仿宋_GB2312" w:hAnsi="仿宋_GB2312" w:cs="仿宋_GB2312" w:eastAsia="仿宋_GB2312"/>
        </w:rPr>
        <w:t>地址：西安市大兴东路29号御笔城市广场（2号电梯）4层408</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采取委托第三方运行维护方式将对鄠邑沣京工业园和蓝田西北家具工业园2个园区，2个园区中心站、8个园区边界站的共计10个VOCs自动监测站进行运行维护，确保站内仪器、软件平台和辅助设施的正常、稳定、连续运行，并能按要求与国家、省、市环保部门联网、传输或发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3,160,000.00</w:t>
      </w:r>
    </w:p>
    <w:p>
      <w:pPr>
        <w:pStyle w:val="null3"/>
      </w:pPr>
      <w:r>
        <w:rPr>
          <w:rFonts w:ascii="仿宋_GB2312" w:hAnsi="仿宋_GB2312" w:cs="仿宋_GB2312" w:eastAsia="仿宋_GB2312"/>
        </w:rPr>
        <w:t>采购包最高限价（元）: 3,160,000.00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3,160,000.00</w:t>
            </w:r>
          </w:p>
        </w:tc>
        <w:tc>
          <w:tcPr>
            <w:tcW w:type="dxa" w:w="831"/>
          </w:tcPr>
          <w:p>
            <w:pPr>
              <w:pStyle w:val="null3"/>
            </w:pPr>
            <w:r>
              <w:rPr>
                <w:rFonts w:ascii="仿宋_GB2312" w:hAnsi="仿宋_GB2312" w:cs="仿宋_GB2312" w:eastAsia="仿宋_GB2312"/>
              </w:rPr>
              <w:t>期</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一、项目说明</w:t>
            </w:r>
          </w:p>
          <w:p>
            <w:pPr>
              <w:pStyle w:val="null3"/>
              <w:jc w:val="both"/>
            </w:pPr>
            <w:r>
              <w:rPr>
                <w:rFonts w:ascii="仿宋_GB2312" w:hAnsi="仿宋_GB2312" w:cs="仿宋_GB2312" w:eastAsia="仿宋_GB2312"/>
                <w:sz w:val="24"/>
                <w:color w:val="000000"/>
              </w:rPr>
              <w:t xml:space="preserve">  为确保西安市重点工业园区挥发性有机物空气质量自动监测站的稳定运行，提高监测数据质量的有效性和准确性，根据西安市重点工业园区挥发性有机物自动监测站的运维到期情况，拟通过公开招标开展</w:t>
            </w:r>
            <w:r>
              <w:rPr>
                <w:rFonts w:ascii="仿宋_GB2312" w:hAnsi="仿宋_GB2312" w:cs="仿宋_GB2312" w:eastAsia="仿宋_GB2312"/>
                <w:sz w:val="24"/>
                <w:color w:val="000000"/>
              </w:rPr>
              <w:t>2025年西安市重点工业园区挥发性有机物空气质量自动监测站运行维护项目。本项目采取委托第三方运行维护方式将对鄠邑沣京工业园和蓝田西北家具工业园2个园区，2个园区中心站、8个园区边界站的共计10个VOCs自动监测站进行运行维护，确保站内仪器、软件平台和辅助设施的正常、稳定、连续运行，并能按要求与国家、省、市环保部门联网、传输或发布。</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二、站点建设情况</w:t>
            </w:r>
          </w:p>
          <w:p>
            <w:pPr>
              <w:pStyle w:val="null3"/>
              <w:ind w:firstLine="480"/>
              <w:jc w:val="left"/>
            </w:pPr>
            <w:r>
              <w:rPr>
                <w:rFonts w:ascii="仿宋_GB2312" w:hAnsi="仿宋_GB2312" w:cs="仿宋_GB2312" w:eastAsia="仿宋_GB2312"/>
                <w:sz w:val="24"/>
                <w:color w:val="000000"/>
              </w:rPr>
              <w:t>每个园区共</w:t>
            </w:r>
            <w:r>
              <w:rPr>
                <w:rFonts w:ascii="仿宋_GB2312" w:hAnsi="仿宋_GB2312" w:cs="仿宋_GB2312" w:eastAsia="仿宋_GB2312"/>
                <w:sz w:val="24"/>
                <w:color w:val="000000"/>
              </w:rPr>
              <w:t>5个监测子站（1个中心站和4个边界站），站点内仪器设备包括：监测仪器、气象仪器和辅助设备设施三部分组成，其中，监测仪器包括PM</w:t>
            </w:r>
            <w:r>
              <w:rPr>
                <w:rFonts w:ascii="仿宋_GB2312" w:hAnsi="仿宋_GB2312" w:cs="仿宋_GB2312" w:eastAsia="仿宋_GB2312"/>
                <w:sz w:val="24"/>
                <w:color w:val="000000"/>
                <w:vertAlign w:val="subscript"/>
              </w:rPr>
              <w:t>2.5</w:t>
            </w:r>
            <w:r>
              <w:rPr>
                <w:rFonts w:ascii="仿宋_GB2312" w:hAnsi="仿宋_GB2312" w:cs="仿宋_GB2312" w:eastAsia="仿宋_GB2312"/>
                <w:sz w:val="24"/>
                <w:color w:val="000000"/>
              </w:rPr>
              <w:t>分析仪、</w:t>
            </w:r>
            <w:r>
              <w:rPr>
                <w:rFonts w:ascii="仿宋_GB2312" w:hAnsi="仿宋_GB2312" w:cs="仿宋_GB2312" w:eastAsia="仿宋_GB2312"/>
                <w:sz w:val="24"/>
                <w:color w:val="000000"/>
              </w:rPr>
              <w:t>NO</w:t>
            </w:r>
            <w:r>
              <w:rPr>
                <w:rFonts w:ascii="仿宋_GB2312" w:hAnsi="仿宋_GB2312" w:cs="仿宋_GB2312" w:eastAsia="仿宋_GB2312"/>
                <w:sz w:val="24"/>
                <w:color w:val="000000"/>
                <w:vertAlign w:val="subscript"/>
              </w:rPr>
              <w:t>X</w:t>
            </w:r>
            <w:r>
              <w:rPr>
                <w:rFonts w:ascii="仿宋_GB2312" w:hAnsi="仿宋_GB2312" w:cs="仿宋_GB2312" w:eastAsia="仿宋_GB2312"/>
                <w:sz w:val="24"/>
                <w:color w:val="000000"/>
              </w:rPr>
              <w:t>分析仪、</w:t>
            </w:r>
            <w:r>
              <w:rPr>
                <w:rFonts w:ascii="仿宋_GB2312" w:hAnsi="仿宋_GB2312" w:cs="仿宋_GB2312" w:eastAsia="仿宋_GB2312"/>
                <w:sz w:val="24"/>
                <w:color w:val="000000"/>
              </w:rPr>
              <w:t>O</w:t>
            </w:r>
            <w:r>
              <w:rPr>
                <w:rFonts w:ascii="仿宋_GB2312" w:hAnsi="仿宋_GB2312" w:cs="仿宋_GB2312" w:eastAsia="仿宋_GB2312"/>
                <w:sz w:val="24"/>
                <w:color w:val="000000"/>
                <w:vertAlign w:val="subscript"/>
              </w:rPr>
              <w:t>3</w:t>
            </w:r>
            <w:r>
              <w:rPr>
                <w:rFonts w:ascii="仿宋_GB2312" w:hAnsi="仿宋_GB2312" w:cs="仿宋_GB2312" w:eastAsia="仿宋_GB2312"/>
                <w:sz w:val="24"/>
                <w:color w:val="000000"/>
              </w:rPr>
              <w:t>分析仪、</w:t>
            </w:r>
            <w:r>
              <w:rPr>
                <w:rFonts w:ascii="仿宋_GB2312" w:hAnsi="仿宋_GB2312" w:cs="仿宋_GB2312" w:eastAsia="仿宋_GB2312"/>
                <w:sz w:val="24"/>
                <w:color w:val="000000"/>
              </w:rPr>
              <w:t>VOCs（116种）自动监测仪、PAMs（57种VOCs）自动监测仪、非甲烷总烃分析仪、NO</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光解速率仪、紫外辐射仪、电子鼻恶臭气体监测仪（电子鼻技术）等设备；气象仪器主要包括风速、风向、温度、湿度、气压、雨量六参数监测仪器；</w:t>
            </w:r>
            <w:r>
              <w:rPr>
                <w:rFonts w:ascii="仿宋_GB2312" w:hAnsi="仿宋_GB2312" w:cs="仿宋_GB2312" w:eastAsia="仿宋_GB2312"/>
                <w:sz w:val="24"/>
                <w:color w:val="000000"/>
              </w:rPr>
              <w:t>辅助设备设施包括采样系统、数据采集与传输软硬件、钢瓶气、</w:t>
            </w:r>
            <w:r>
              <w:rPr>
                <w:rFonts w:ascii="仿宋_GB2312" w:hAnsi="仿宋_GB2312" w:cs="仿宋_GB2312" w:eastAsia="仿宋_GB2312"/>
                <w:sz w:val="24"/>
                <w:color w:val="000000"/>
              </w:rPr>
              <w:t>UPS、制冷系统、供电系统、防雷系统、视频监控系统、子站站房、安防设施等</w:t>
            </w:r>
            <w:r>
              <w:rPr>
                <w:rFonts w:ascii="仿宋_GB2312" w:hAnsi="仿宋_GB2312" w:cs="仿宋_GB2312" w:eastAsia="仿宋_GB2312"/>
                <w:sz w:val="24"/>
                <w:color w:val="000000"/>
              </w:rPr>
              <w:t>。</w:t>
            </w:r>
          </w:p>
          <w:p>
            <w:pPr>
              <w:pStyle w:val="null3"/>
              <w:jc w:val="center"/>
            </w:pPr>
            <w:r>
              <w:rPr>
                <w:rFonts w:ascii="仿宋_GB2312" w:hAnsi="仿宋_GB2312" w:cs="仿宋_GB2312" w:eastAsia="仿宋_GB2312"/>
                <w:sz w:val="24"/>
                <w:b/>
              </w:rPr>
              <w:t xml:space="preserve"> </w:t>
            </w:r>
            <w:r>
              <w:rPr>
                <w:rFonts w:ascii="仿宋_GB2312" w:hAnsi="仿宋_GB2312" w:cs="仿宋_GB2312" w:eastAsia="仿宋_GB2312"/>
                <w:sz w:val="24"/>
                <w:b/>
              </w:rPr>
              <w:t>表</w:t>
            </w:r>
            <w:r>
              <w:rPr>
                <w:rFonts w:ascii="仿宋_GB2312" w:hAnsi="仿宋_GB2312" w:cs="仿宋_GB2312" w:eastAsia="仿宋_GB2312"/>
                <w:sz w:val="24"/>
                <w:b/>
              </w:rPr>
              <w:t>1 工业园区空气挥发性有机物自动监测站建设点位</w:t>
            </w:r>
          </w:p>
          <w:tbl>
            <w:tblPr>
              <w:tblBorders>
                <w:top w:val="none" w:color="000000" w:sz="4"/>
                <w:left w:val="none" w:color="000000" w:sz="4"/>
                <w:bottom w:val="none" w:color="000000" w:sz="4"/>
                <w:right w:val="none" w:color="000000" w:sz="4"/>
                <w:insideH w:val="none"/>
                <w:insideV w:val="none"/>
              </w:tblBorders>
            </w:tblPr>
            <w:tblGrid>
              <w:gridCol w:w="680"/>
              <w:gridCol w:w="1073"/>
              <w:gridCol w:w="794"/>
            </w:tblGrid>
            <w:tr>
              <w:tc>
                <w:tcPr>
                  <w:tcW w:type="dxa" w:w="6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区域</w:t>
                  </w:r>
                </w:p>
              </w:tc>
              <w:tc>
                <w:tcPr>
                  <w:tcW w:type="dxa" w:w="10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7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所在位置</w:t>
                  </w:r>
                </w:p>
              </w:tc>
            </w:tr>
            <w:tr>
              <w:tc>
                <w:tcPr>
                  <w:tcW w:type="dxa" w:w="680"/>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鄠邑沣京工业园</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鄠邑中心站</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鄠邑区</w:t>
                  </w:r>
                </w:p>
              </w:tc>
            </w:tr>
            <w:tr>
              <w:tc>
                <w:tcPr>
                  <w:tcW w:type="dxa" w:w="680"/>
                  <w:vMerge/>
                  <w:tcBorders>
                    <w:top w:val="none" w:color="000000" w:sz="4"/>
                    <w:left w:val="single" w:color="000000" w:sz="4"/>
                    <w:bottom w:val="none" w:color="000000" w:sz="4"/>
                    <w:right w:val="single" w:color="000000" w:sz="4"/>
                  </w:tcBorders>
                </w:tcP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固勤边界站</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鄠邑区</w:t>
                  </w:r>
                </w:p>
              </w:tc>
            </w:tr>
            <w:tr>
              <w:tc>
                <w:tcPr>
                  <w:tcW w:type="dxa" w:w="680"/>
                  <w:vMerge/>
                  <w:tcBorders>
                    <w:top w:val="none" w:color="000000" w:sz="4"/>
                    <w:left w:val="single" w:color="000000" w:sz="4"/>
                    <w:bottom w:val="none" w:color="000000" w:sz="4"/>
                    <w:right w:val="single" w:color="000000" w:sz="4"/>
                  </w:tcBorders>
                </w:tcP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兰电边界站</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鄠邑区</w:t>
                  </w:r>
                </w:p>
              </w:tc>
            </w:tr>
            <w:tr>
              <w:tc>
                <w:tcPr>
                  <w:tcW w:type="dxa" w:w="680"/>
                  <w:vMerge/>
                  <w:tcBorders>
                    <w:top w:val="none" w:color="000000" w:sz="4"/>
                    <w:left w:val="single" w:color="000000" w:sz="4"/>
                    <w:bottom w:val="none" w:color="000000" w:sz="4"/>
                    <w:right w:val="single" w:color="000000" w:sz="4"/>
                  </w:tcBorders>
                </w:tcP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利君边界站</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鄠邑区</w:t>
                  </w:r>
                </w:p>
              </w:tc>
            </w:tr>
            <w:tr>
              <w:tc>
                <w:tcPr>
                  <w:tcW w:type="dxa" w:w="680"/>
                  <w:vMerge/>
                  <w:tcBorders>
                    <w:top w:val="none" w:color="000000" w:sz="4"/>
                    <w:left w:val="single" w:color="000000" w:sz="4"/>
                    <w:bottom w:val="none" w:color="000000" w:sz="4"/>
                    <w:right w:val="single" w:color="000000" w:sz="4"/>
                  </w:tcBorders>
                </w:tcP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医药学校边界站</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鄠邑区</w:t>
                  </w:r>
                </w:p>
              </w:tc>
            </w:tr>
            <w:tr>
              <w:tc>
                <w:tcPr>
                  <w:tcW w:type="dxa" w:w="680"/>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蓝田西北家具工业园</w:t>
                  </w: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蓝田中心站</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蓝田县</w:t>
                  </w:r>
                </w:p>
              </w:tc>
            </w:tr>
            <w:tr>
              <w:tc>
                <w:tcPr>
                  <w:tcW w:type="dxa" w:w="680"/>
                  <w:vMerge/>
                  <w:tcBorders>
                    <w:top w:val="none" w:color="000000" w:sz="4"/>
                    <w:left w:val="single" w:color="000000" w:sz="4"/>
                    <w:bottom w:val="none" w:color="000000" w:sz="4"/>
                    <w:right w:val="single" w:color="000000" w:sz="4"/>
                  </w:tcBorders>
                </w:tcP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环保局边界站</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蓝田县</w:t>
                  </w:r>
                </w:p>
              </w:tc>
            </w:tr>
            <w:tr>
              <w:tc>
                <w:tcPr>
                  <w:tcW w:type="dxa" w:w="680"/>
                  <w:vMerge/>
                  <w:tcBorders>
                    <w:top w:val="none" w:color="000000" w:sz="4"/>
                    <w:left w:val="single" w:color="000000" w:sz="4"/>
                    <w:bottom w:val="none" w:color="000000" w:sz="4"/>
                    <w:right w:val="single" w:color="000000" w:sz="4"/>
                  </w:tcBorders>
                </w:tcP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新港一路边界站</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蓝田县</w:t>
                  </w:r>
                </w:p>
              </w:tc>
            </w:tr>
            <w:tr>
              <w:tc>
                <w:tcPr>
                  <w:tcW w:type="dxa" w:w="680"/>
                  <w:vMerge/>
                  <w:tcBorders>
                    <w:top w:val="none" w:color="000000" w:sz="4"/>
                    <w:left w:val="single" w:color="000000" w:sz="4"/>
                    <w:bottom w:val="none" w:color="000000" w:sz="4"/>
                    <w:right w:val="single" w:color="000000" w:sz="4"/>
                  </w:tcBorders>
                </w:tcP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蜀汉边界站</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蓝田县</w:t>
                  </w:r>
                </w:p>
              </w:tc>
            </w:tr>
            <w:tr>
              <w:tc>
                <w:tcPr>
                  <w:tcW w:type="dxa" w:w="680"/>
                  <w:vMerge/>
                  <w:tcBorders>
                    <w:top w:val="none" w:color="000000" w:sz="4"/>
                    <w:left w:val="single" w:color="000000" w:sz="4"/>
                    <w:bottom w:val="none" w:color="000000" w:sz="4"/>
                    <w:right w:val="single" w:color="000000" w:sz="4"/>
                  </w:tcBorders>
                </w:tcPr>
                <w:p/>
              </w:tc>
              <w:tc>
                <w:tcPr>
                  <w:tcW w:type="dxa" w:w="10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新港十二路边界站</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蓝田县</w:t>
                  </w:r>
                </w:p>
              </w:tc>
            </w:tr>
          </w:tbl>
          <w:p>
            <w:pPr>
              <w:pStyle w:val="null3"/>
              <w:spacing w:before="315"/>
              <w:jc w:val="center"/>
            </w:pPr>
            <w:r>
              <w:rPr>
                <w:rFonts w:ascii="仿宋_GB2312" w:hAnsi="仿宋_GB2312" w:cs="仿宋_GB2312" w:eastAsia="仿宋_GB2312"/>
                <w:sz w:val="24"/>
                <w:b/>
              </w:rPr>
              <w:t>表</w:t>
            </w:r>
            <w:r>
              <w:rPr>
                <w:rFonts w:ascii="仿宋_GB2312" w:hAnsi="仿宋_GB2312" w:cs="仿宋_GB2312" w:eastAsia="仿宋_GB2312"/>
                <w:sz w:val="24"/>
                <w:b/>
              </w:rPr>
              <w:t>2 各站点仪器设备信息及仪器厂家一览表</w:t>
            </w:r>
          </w:p>
          <w:tbl>
            <w:tblPr>
              <w:tblBorders>
                <w:top w:val="none" w:color="000000" w:sz="4"/>
                <w:left w:val="none" w:color="000000" w:sz="4"/>
                <w:bottom w:val="none" w:color="000000" w:sz="4"/>
                <w:right w:val="none" w:color="000000" w:sz="4"/>
                <w:insideH w:val="none"/>
                <w:insideV w:val="none"/>
              </w:tblBorders>
            </w:tblPr>
            <w:tblGrid>
              <w:gridCol w:w="155"/>
              <w:gridCol w:w="155"/>
              <w:gridCol w:w="564"/>
              <w:gridCol w:w="1268"/>
              <w:gridCol w:w="400"/>
            </w:tblGrid>
            <w:tr>
              <w:tc>
                <w:tcPr>
                  <w:tcW w:type="dxa" w:w="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区域</w:t>
                  </w:r>
                </w:p>
              </w:tc>
              <w:tc>
                <w:tcPr>
                  <w:tcW w:type="dxa" w:w="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点位名称</w:t>
                  </w:r>
                </w:p>
              </w:tc>
              <w:tc>
                <w:tcPr>
                  <w:tcW w:type="dxa" w:w="1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主要监测设备</w:t>
                  </w:r>
                  <w:r>
                    <w:rPr>
                      <w:rFonts w:ascii="仿宋_GB2312" w:hAnsi="仿宋_GB2312" w:cs="仿宋_GB2312" w:eastAsia="仿宋_GB2312"/>
                      <w:sz w:val="24"/>
                      <w:b/>
                      <w:color w:val="000000"/>
                    </w:rPr>
                    <w:t>/仪器厂商</w:t>
                  </w:r>
                </w:p>
              </w:tc>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运维周期</w:t>
                  </w:r>
                </w:p>
              </w:tc>
            </w:tr>
            <w:tr>
              <w:tc>
                <w:tcPr>
                  <w:tcW w:type="dxa" w:w="1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1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鄠邑沣京工业园</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鄠邑中心站</w:t>
                  </w:r>
                </w:p>
              </w:tc>
              <w:tc>
                <w:tcPr>
                  <w:tcW w:type="dxa" w:w="1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①在线气相色谱-飞行时间质谱（GC/TOF）挥发性有机物监测系统/上海磐合；</w:t>
                  </w:r>
                </w:p>
                <w:p>
                  <w:pPr>
                    <w:pStyle w:val="null3"/>
                    <w:jc w:val="left"/>
                  </w:pPr>
                  <w:r>
                    <w:rPr>
                      <w:rFonts w:ascii="仿宋_GB2312" w:hAnsi="仿宋_GB2312" w:cs="仿宋_GB2312" w:eastAsia="仿宋_GB2312"/>
                      <w:sz w:val="24"/>
                    </w:rPr>
                    <w:t>②常规三参数（臭氧、氮氧化物、PM</w:t>
                  </w:r>
                  <w:r>
                    <w:rPr>
                      <w:rFonts w:ascii="仿宋_GB2312" w:hAnsi="仿宋_GB2312" w:cs="仿宋_GB2312" w:eastAsia="仿宋_GB2312"/>
                      <w:sz w:val="24"/>
                      <w:vertAlign w:val="subscript"/>
                    </w:rPr>
                    <w:t>2.5</w:t>
                  </w:r>
                  <w:r>
                    <w:rPr>
                      <w:rFonts w:ascii="仿宋_GB2312" w:hAnsi="仿宋_GB2312" w:cs="仿宋_GB2312" w:eastAsia="仿宋_GB2312"/>
                      <w:sz w:val="24"/>
                    </w:rPr>
                    <w:t>）</w:t>
                  </w:r>
                  <w:r>
                    <w:rPr>
                      <w:rFonts w:ascii="仿宋_GB2312" w:hAnsi="仿宋_GB2312" w:cs="仿宋_GB2312" w:eastAsia="仿宋_GB2312"/>
                      <w:sz w:val="24"/>
                    </w:rPr>
                    <w:t>/赛默飞；</w:t>
                  </w:r>
                </w:p>
                <w:p>
                  <w:pPr>
                    <w:pStyle w:val="null3"/>
                    <w:jc w:val="left"/>
                  </w:pPr>
                  <w:r>
                    <w:rPr>
                      <w:rFonts w:ascii="仿宋_GB2312" w:hAnsi="仿宋_GB2312" w:cs="仿宋_GB2312" w:eastAsia="仿宋_GB2312"/>
                      <w:sz w:val="24"/>
                    </w:rPr>
                    <w:t>③非甲烷总烃在线分析系统/聚光科技；</w:t>
                  </w:r>
                </w:p>
                <w:p>
                  <w:pPr>
                    <w:pStyle w:val="null3"/>
                    <w:jc w:val="left"/>
                  </w:pPr>
                  <w:r>
                    <w:rPr>
                      <w:rFonts w:ascii="仿宋_GB2312" w:hAnsi="仿宋_GB2312" w:cs="仿宋_GB2312" w:eastAsia="仿宋_GB2312"/>
                      <w:sz w:val="24"/>
                    </w:rPr>
                    <w:t>④恶臭（OU值、SO</w:t>
                  </w:r>
                  <w:r>
                    <w:rPr>
                      <w:rFonts w:ascii="仿宋_GB2312" w:hAnsi="仿宋_GB2312" w:cs="仿宋_GB2312" w:eastAsia="仿宋_GB2312"/>
                      <w:sz w:val="24"/>
                      <w:vertAlign w:val="subscript"/>
                    </w:rPr>
                    <w:t>2</w:t>
                  </w:r>
                  <w:r>
                    <w:rPr>
                      <w:rFonts w:ascii="仿宋_GB2312" w:hAnsi="仿宋_GB2312" w:cs="仿宋_GB2312" w:eastAsia="仿宋_GB2312"/>
                      <w:sz w:val="24"/>
                    </w:rPr>
                    <w:t>、</w:t>
                  </w:r>
                  <w:r>
                    <w:rPr>
                      <w:rFonts w:ascii="仿宋_GB2312" w:hAnsi="仿宋_GB2312" w:cs="仿宋_GB2312" w:eastAsia="仿宋_GB2312"/>
                      <w:sz w:val="24"/>
                    </w:rPr>
                    <w:t>H</w:t>
                  </w:r>
                  <w:r>
                    <w:rPr>
                      <w:rFonts w:ascii="仿宋_GB2312" w:hAnsi="仿宋_GB2312" w:cs="仿宋_GB2312" w:eastAsia="仿宋_GB2312"/>
                      <w:sz w:val="24"/>
                      <w:vertAlign w:val="subscript"/>
                    </w:rPr>
                    <w:t>2</w:t>
                  </w:r>
                  <w:r>
                    <w:rPr>
                      <w:rFonts w:ascii="仿宋_GB2312" w:hAnsi="仿宋_GB2312" w:cs="仿宋_GB2312" w:eastAsia="仿宋_GB2312"/>
                      <w:sz w:val="24"/>
                    </w:rPr>
                    <w:t>S、NH</w:t>
                  </w:r>
                  <w:r>
                    <w:rPr>
                      <w:rFonts w:ascii="仿宋_GB2312" w:hAnsi="仿宋_GB2312" w:cs="仿宋_GB2312" w:eastAsia="仿宋_GB2312"/>
                      <w:sz w:val="24"/>
                      <w:vertAlign w:val="subscript"/>
                    </w:rPr>
                    <w:t>3</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宁和环境</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⑤光解速率/北京迈特高；</w:t>
                  </w:r>
                </w:p>
                <w:p>
                  <w:pPr>
                    <w:pStyle w:val="null3"/>
                    <w:jc w:val="left"/>
                  </w:pPr>
                  <w:r>
                    <w:rPr>
                      <w:rFonts w:ascii="仿宋_GB2312" w:hAnsi="仿宋_GB2312" w:cs="仿宋_GB2312" w:eastAsia="仿宋_GB2312"/>
                      <w:sz w:val="24"/>
                    </w:rPr>
                    <w:t>⑥辐射照度/北京迈特高；</w:t>
                  </w:r>
                </w:p>
                <w:p>
                  <w:pPr>
                    <w:pStyle w:val="null3"/>
                    <w:jc w:val="both"/>
                  </w:pPr>
                  <w:r>
                    <w:rPr>
                      <w:rFonts w:ascii="仿宋_GB2312" w:hAnsi="仿宋_GB2312" w:cs="仿宋_GB2312" w:eastAsia="仿宋_GB2312"/>
                      <w:sz w:val="24"/>
                    </w:rPr>
                    <w:t>⑦气象六参数</w:t>
                  </w:r>
                  <w:r>
                    <w:rPr>
                      <w:rFonts w:ascii="仿宋_GB2312" w:hAnsi="仿宋_GB2312" w:cs="仿宋_GB2312" w:eastAsia="仿宋_GB2312"/>
                      <w:sz w:val="24"/>
                    </w:rPr>
                    <w:t>（湿度、温度、风速、气压、风向、降雨量）</w:t>
                  </w:r>
                  <w:r>
                    <w:rPr>
                      <w:rFonts w:ascii="仿宋_GB2312" w:hAnsi="仿宋_GB2312" w:cs="仿宋_GB2312" w:eastAsia="仿宋_GB2312"/>
                      <w:sz w:val="24"/>
                    </w:rPr>
                    <w:t>/上海磐合</w:t>
                  </w:r>
                  <w:r>
                    <w:rPr>
                      <w:rFonts w:ascii="仿宋_GB2312" w:hAnsi="仿宋_GB2312" w:cs="仿宋_GB2312" w:eastAsia="仿宋_GB2312"/>
                      <w:sz w:val="24"/>
                    </w:rPr>
                    <w:t>；</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1年</w:t>
                  </w:r>
                </w:p>
                <w:p>
                  <w:pPr>
                    <w:pStyle w:val="null3"/>
                    <w:jc w:val="center"/>
                  </w:pPr>
                  <w:r>
                    <w:rPr>
                      <w:rFonts w:ascii="仿宋_GB2312" w:hAnsi="仿宋_GB2312" w:cs="仿宋_GB2312" w:eastAsia="仿宋_GB2312"/>
                      <w:sz w:val="24"/>
                      <w:color w:val="000000"/>
                    </w:rPr>
                    <w:t>（自项目交接日起计算）</w:t>
                  </w:r>
                </w:p>
              </w:tc>
            </w:tr>
            <w:tr>
              <w:tc>
                <w:tcPr>
                  <w:tcW w:type="dxa" w:w="155"/>
                  <w:vMerge/>
                  <w:tcBorders>
                    <w:top w:val="none" w:color="000000" w:sz="4"/>
                    <w:left w:val="single" w:color="000000" w:sz="4"/>
                    <w:bottom w:val="single" w:color="000000" w:sz="4"/>
                    <w:right w:val="single" w:color="000000" w:sz="4"/>
                  </w:tcBorders>
                </w:tcPr>
                <w:p/>
              </w:tc>
              <w:tc>
                <w:tcPr>
                  <w:tcW w:type="dxa" w:w="155"/>
                  <w:vMerge/>
                  <w:tcBorders>
                    <w:top w:val="none" w:color="000000" w:sz="4"/>
                    <w:left w:val="single" w:color="000000" w:sz="4"/>
                    <w:bottom w:val="single" w:color="000000" w:sz="4"/>
                    <w:right w:val="single" w:color="000000" w:sz="4"/>
                  </w:tcBorders>
                </w:tcP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固勤边界站</w:t>
                  </w:r>
                </w:p>
              </w:tc>
              <w:tc>
                <w:tcPr>
                  <w:tcW w:type="dxa" w:w="12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各站点均包含在线</w:t>
                  </w:r>
                  <w:r>
                    <w:rPr>
                      <w:rFonts w:ascii="仿宋_GB2312" w:hAnsi="仿宋_GB2312" w:cs="仿宋_GB2312" w:eastAsia="仿宋_GB2312"/>
                      <w:sz w:val="24"/>
                      <w:color w:val="000000"/>
                    </w:rPr>
                    <w:t>PAMS挥发性有机物监测系统1套/上海磐合</w:t>
                  </w:r>
                </w:p>
              </w:tc>
              <w:tc>
                <w:tcPr>
                  <w:tcW w:type="dxa" w:w="4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1年</w:t>
                  </w:r>
                </w:p>
                <w:p>
                  <w:pPr>
                    <w:pStyle w:val="null3"/>
                    <w:jc w:val="both"/>
                  </w:pPr>
                  <w:r>
                    <w:rPr>
                      <w:rFonts w:ascii="仿宋_GB2312" w:hAnsi="仿宋_GB2312" w:cs="仿宋_GB2312" w:eastAsia="仿宋_GB2312"/>
                      <w:sz w:val="24"/>
                      <w:color w:val="000000"/>
                    </w:rPr>
                    <w:t>（自项目交接日起计算）</w:t>
                  </w:r>
                </w:p>
              </w:tc>
            </w:tr>
            <w:tr>
              <w:tc>
                <w:tcPr>
                  <w:tcW w:type="dxa" w:w="155"/>
                  <w:vMerge/>
                  <w:tcBorders>
                    <w:top w:val="none" w:color="000000" w:sz="4"/>
                    <w:left w:val="single" w:color="000000" w:sz="4"/>
                    <w:bottom w:val="single" w:color="000000" w:sz="4"/>
                    <w:right w:val="single" w:color="000000" w:sz="4"/>
                  </w:tcBorders>
                </w:tcPr>
                <w:p/>
              </w:tc>
              <w:tc>
                <w:tcPr>
                  <w:tcW w:type="dxa" w:w="155"/>
                  <w:vMerge/>
                  <w:tcBorders>
                    <w:top w:val="none" w:color="000000" w:sz="4"/>
                    <w:left w:val="single" w:color="000000" w:sz="4"/>
                    <w:bottom w:val="single" w:color="000000" w:sz="4"/>
                    <w:right w:val="single" w:color="000000" w:sz="4"/>
                  </w:tcBorders>
                </w:tcP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兰电边界站</w:t>
                  </w:r>
                </w:p>
              </w:tc>
              <w:tc>
                <w:tcPr>
                  <w:tcW w:type="dxa" w:w="1268"/>
                  <w:vMerge/>
                  <w:tcBorders>
                    <w:top w:val="none" w:color="000000" w:sz="4"/>
                    <w:left w:val="single" w:color="000000" w:sz="4"/>
                    <w:bottom w:val="single" w:color="000000" w:sz="4"/>
                    <w:right w:val="single" w:color="000000" w:sz="4"/>
                  </w:tcBorders>
                </w:tcPr>
                <w:p/>
              </w:tc>
              <w:tc>
                <w:tcPr>
                  <w:tcW w:type="dxa" w:w="400"/>
                  <w:vMerge/>
                  <w:tcBorders>
                    <w:top w:val="none" w:color="000000" w:sz="4"/>
                    <w:left w:val="single" w:color="000000" w:sz="4"/>
                    <w:bottom w:val="single" w:color="000000" w:sz="4"/>
                    <w:right w:val="single" w:color="000000" w:sz="4"/>
                  </w:tcBorders>
                </w:tcPr>
                <w:p/>
              </w:tc>
            </w:tr>
            <w:tr>
              <w:tc>
                <w:tcPr>
                  <w:tcW w:type="dxa" w:w="155"/>
                  <w:vMerge/>
                  <w:tcBorders>
                    <w:top w:val="none" w:color="000000" w:sz="4"/>
                    <w:left w:val="single" w:color="000000" w:sz="4"/>
                    <w:bottom w:val="single" w:color="000000" w:sz="4"/>
                    <w:right w:val="single" w:color="000000" w:sz="4"/>
                  </w:tcBorders>
                </w:tcPr>
                <w:p/>
              </w:tc>
              <w:tc>
                <w:tcPr>
                  <w:tcW w:type="dxa" w:w="155"/>
                  <w:vMerge/>
                  <w:tcBorders>
                    <w:top w:val="none" w:color="000000" w:sz="4"/>
                    <w:left w:val="single" w:color="000000" w:sz="4"/>
                    <w:bottom w:val="single" w:color="000000" w:sz="4"/>
                    <w:right w:val="single" w:color="000000" w:sz="4"/>
                  </w:tcBorders>
                </w:tcP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利君边界站</w:t>
                  </w:r>
                </w:p>
              </w:tc>
              <w:tc>
                <w:tcPr>
                  <w:tcW w:type="dxa" w:w="1268"/>
                  <w:vMerge/>
                  <w:tcBorders>
                    <w:top w:val="none" w:color="000000" w:sz="4"/>
                    <w:left w:val="single" w:color="000000" w:sz="4"/>
                    <w:bottom w:val="single" w:color="000000" w:sz="4"/>
                    <w:right w:val="single" w:color="000000" w:sz="4"/>
                  </w:tcBorders>
                </w:tcPr>
                <w:p/>
              </w:tc>
              <w:tc>
                <w:tcPr>
                  <w:tcW w:type="dxa" w:w="400"/>
                  <w:vMerge/>
                  <w:tcBorders>
                    <w:top w:val="none" w:color="000000" w:sz="4"/>
                    <w:left w:val="single" w:color="000000" w:sz="4"/>
                    <w:bottom w:val="single" w:color="000000" w:sz="4"/>
                    <w:right w:val="single" w:color="000000" w:sz="4"/>
                  </w:tcBorders>
                </w:tcPr>
                <w:p/>
              </w:tc>
            </w:tr>
            <w:tr>
              <w:tc>
                <w:tcPr>
                  <w:tcW w:type="dxa" w:w="155"/>
                  <w:vMerge/>
                  <w:tcBorders>
                    <w:top w:val="none" w:color="000000" w:sz="4"/>
                    <w:left w:val="single" w:color="000000" w:sz="4"/>
                    <w:bottom w:val="single" w:color="000000" w:sz="4"/>
                    <w:right w:val="single" w:color="000000" w:sz="4"/>
                  </w:tcBorders>
                </w:tcPr>
                <w:p/>
              </w:tc>
              <w:tc>
                <w:tcPr>
                  <w:tcW w:type="dxa" w:w="155"/>
                  <w:vMerge/>
                  <w:tcBorders>
                    <w:top w:val="none" w:color="000000" w:sz="4"/>
                    <w:left w:val="single" w:color="000000" w:sz="4"/>
                    <w:bottom w:val="single" w:color="000000" w:sz="4"/>
                    <w:right w:val="single" w:color="000000" w:sz="4"/>
                  </w:tcBorders>
                </w:tcP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医药学校边界站</w:t>
                  </w:r>
                </w:p>
              </w:tc>
              <w:tc>
                <w:tcPr>
                  <w:tcW w:type="dxa" w:w="1268"/>
                  <w:vMerge/>
                  <w:tcBorders>
                    <w:top w:val="none" w:color="000000" w:sz="4"/>
                    <w:left w:val="single" w:color="000000" w:sz="4"/>
                    <w:bottom w:val="single" w:color="000000" w:sz="4"/>
                    <w:right w:val="single" w:color="000000" w:sz="4"/>
                  </w:tcBorders>
                </w:tcPr>
                <w:p/>
              </w:tc>
              <w:tc>
                <w:tcPr>
                  <w:tcW w:type="dxa" w:w="400"/>
                  <w:vMerge/>
                  <w:tcBorders>
                    <w:top w:val="none" w:color="000000" w:sz="4"/>
                    <w:left w:val="single" w:color="000000" w:sz="4"/>
                    <w:bottom w:val="single" w:color="000000" w:sz="4"/>
                    <w:right w:val="single" w:color="000000" w:sz="4"/>
                  </w:tcBorders>
                </w:tcPr>
                <w:p/>
              </w:tc>
            </w:tr>
            <w:tr>
              <w:tc>
                <w:tcPr>
                  <w:tcW w:type="dxa" w:w="1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w:t>
                  </w:r>
                </w:p>
              </w:tc>
              <w:tc>
                <w:tcPr>
                  <w:tcW w:type="dxa" w:w="1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蓝田西北家具工业园</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蓝田中心站</w:t>
                  </w:r>
                </w:p>
              </w:tc>
              <w:tc>
                <w:tcPr>
                  <w:tcW w:type="dxa" w:w="1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①在线气相色谱-飞行时间质谱（GC/TOF）挥发性有机物监测系统/上海磐合；</w:t>
                  </w:r>
                </w:p>
                <w:p>
                  <w:pPr>
                    <w:pStyle w:val="null3"/>
                    <w:jc w:val="left"/>
                  </w:pPr>
                  <w:r>
                    <w:rPr>
                      <w:rFonts w:ascii="仿宋_GB2312" w:hAnsi="仿宋_GB2312" w:cs="仿宋_GB2312" w:eastAsia="仿宋_GB2312"/>
                      <w:sz w:val="24"/>
                    </w:rPr>
                    <w:t>②常规三参数（臭氧、氮氧化物、PM</w:t>
                  </w:r>
                  <w:r>
                    <w:rPr>
                      <w:rFonts w:ascii="仿宋_GB2312" w:hAnsi="仿宋_GB2312" w:cs="仿宋_GB2312" w:eastAsia="仿宋_GB2312"/>
                      <w:sz w:val="24"/>
                      <w:vertAlign w:val="subscript"/>
                    </w:rPr>
                    <w:t>2.5</w:t>
                  </w:r>
                  <w:r>
                    <w:rPr>
                      <w:rFonts w:ascii="仿宋_GB2312" w:hAnsi="仿宋_GB2312" w:cs="仿宋_GB2312" w:eastAsia="仿宋_GB2312"/>
                      <w:sz w:val="24"/>
                    </w:rPr>
                    <w:t>）</w:t>
                  </w:r>
                  <w:r>
                    <w:rPr>
                      <w:rFonts w:ascii="仿宋_GB2312" w:hAnsi="仿宋_GB2312" w:cs="仿宋_GB2312" w:eastAsia="仿宋_GB2312"/>
                      <w:sz w:val="24"/>
                    </w:rPr>
                    <w:t>/赛默飞；</w:t>
                  </w:r>
                </w:p>
                <w:p>
                  <w:pPr>
                    <w:pStyle w:val="null3"/>
                    <w:jc w:val="left"/>
                  </w:pPr>
                  <w:r>
                    <w:rPr>
                      <w:rFonts w:ascii="仿宋_GB2312" w:hAnsi="仿宋_GB2312" w:cs="仿宋_GB2312" w:eastAsia="仿宋_GB2312"/>
                      <w:sz w:val="24"/>
                    </w:rPr>
                    <w:t>③非甲烷总烃在线分析系统/聚光科技；</w:t>
                  </w:r>
                </w:p>
                <w:p>
                  <w:pPr>
                    <w:pStyle w:val="null3"/>
                    <w:jc w:val="left"/>
                  </w:pPr>
                  <w:r>
                    <w:rPr>
                      <w:rFonts w:ascii="仿宋_GB2312" w:hAnsi="仿宋_GB2312" w:cs="仿宋_GB2312" w:eastAsia="仿宋_GB2312"/>
                      <w:sz w:val="24"/>
                    </w:rPr>
                    <w:t>④恶臭（OU值、SO</w:t>
                  </w:r>
                  <w:r>
                    <w:rPr>
                      <w:rFonts w:ascii="仿宋_GB2312" w:hAnsi="仿宋_GB2312" w:cs="仿宋_GB2312" w:eastAsia="仿宋_GB2312"/>
                      <w:sz w:val="24"/>
                      <w:vertAlign w:val="subscript"/>
                    </w:rPr>
                    <w:t>2</w:t>
                  </w:r>
                  <w:r>
                    <w:rPr>
                      <w:rFonts w:ascii="仿宋_GB2312" w:hAnsi="仿宋_GB2312" w:cs="仿宋_GB2312" w:eastAsia="仿宋_GB2312"/>
                      <w:sz w:val="24"/>
                    </w:rPr>
                    <w:t>、</w:t>
                  </w:r>
                  <w:r>
                    <w:rPr>
                      <w:rFonts w:ascii="仿宋_GB2312" w:hAnsi="仿宋_GB2312" w:cs="仿宋_GB2312" w:eastAsia="仿宋_GB2312"/>
                      <w:sz w:val="24"/>
                    </w:rPr>
                    <w:t>H</w:t>
                  </w:r>
                  <w:r>
                    <w:rPr>
                      <w:rFonts w:ascii="仿宋_GB2312" w:hAnsi="仿宋_GB2312" w:cs="仿宋_GB2312" w:eastAsia="仿宋_GB2312"/>
                      <w:sz w:val="24"/>
                      <w:vertAlign w:val="subscript"/>
                    </w:rPr>
                    <w:t>2</w:t>
                  </w:r>
                  <w:r>
                    <w:rPr>
                      <w:rFonts w:ascii="仿宋_GB2312" w:hAnsi="仿宋_GB2312" w:cs="仿宋_GB2312" w:eastAsia="仿宋_GB2312"/>
                      <w:sz w:val="24"/>
                    </w:rPr>
                    <w:t>S、NH</w:t>
                  </w:r>
                  <w:r>
                    <w:rPr>
                      <w:rFonts w:ascii="仿宋_GB2312" w:hAnsi="仿宋_GB2312" w:cs="仿宋_GB2312" w:eastAsia="仿宋_GB2312"/>
                      <w:sz w:val="24"/>
                      <w:vertAlign w:val="subscript"/>
                    </w:rPr>
                    <w:t>3</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color w:val="000000"/>
                    </w:rPr>
                    <w:t>宁和环境</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⑤光解速率/北京迈特高；</w:t>
                  </w:r>
                </w:p>
                <w:p>
                  <w:pPr>
                    <w:pStyle w:val="null3"/>
                    <w:jc w:val="left"/>
                  </w:pPr>
                  <w:r>
                    <w:rPr>
                      <w:rFonts w:ascii="仿宋_GB2312" w:hAnsi="仿宋_GB2312" w:cs="仿宋_GB2312" w:eastAsia="仿宋_GB2312"/>
                      <w:sz w:val="24"/>
                    </w:rPr>
                    <w:t>⑥辐射照度/北京迈特高；</w:t>
                  </w:r>
                </w:p>
                <w:p>
                  <w:pPr>
                    <w:pStyle w:val="null3"/>
                    <w:jc w:val="left"/>
                  </w:pPr>
                  <w:r>
                    <w:rPr>
                      <w:rFonts w:ascii="仿宋_GB2312" w:hAnsi="仿宋_GB2312" w:cs="仿宋_GB2312" w:eastAsia="仿宋_GB2312"/>
                      <w:sz w:val="24"/>
                    </w:rPr>
                    <w:t>⑦气象六参数</w:t>
                  </w:r>
                  <w:r>
                    <w:rPr>
                      <w:rFonts w:ascii="仿宋_GB2312" w:hAnsi="仿宋_GB2312" w:cs="仿宋_GB2312" w:eastAsia="仿宋_GB2312"/>
                      <w:sz w:val="24"/>
                    </w:rPr>
                    <w:t>（湿度、温度、风速、气压、风向、降雨量）</w:t>
                  </w:r>
                  <w:r>
                    <w:rPr>
                      <w:rFonts w:ascii="仿宋_GB2312" w:hAnsi="仿宋_GB2312" w:cs="仿宋_GB2312" w:eastAsia="仿宋_GB2312"/>
                      <w:sz w:val="24"/>
                    </w:rPr>
                    <w:t>/上海磐合</w:t>
                  </w:r>
                  <w:r>
                    <w:rPr>
                      <w:rFonts w:ascii="仿宋_GB2312" w:hAnsi="仿宋_GB2312" w:cs="仿宋_GB2312" w:eastAsia="仿宋_GB2312"/>
                      <w:sz w:val="24"/>
                    </w:rPr>
                    <w:t>；</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1年</w:t>
                  </w:r>
                </w:p>
                <w:p>
                  <w:pPr>
                    <w:pStyle w:val="null3"/>
                    <w:jc w:val="both"/>
                  </w:pPr>
                  <w:r>
                    <w:rPr>
                      <w:rFonts w:ascii="仿宋_GB2312" w:hAnsi="仿宋_GB2312" w:cs="仿宋_GB2312" w:eastAsia="仿宋_GB2312"/>
                      <w:sz w:val="24"/>
                      <w:color w:val="000000"/>
                    </w:rPr>
                    <w:t>（自项目交接日起计算）</w:t>
                  </w:r>
                </w:p>
              </w:tc>
            </w:tr>
            <w:tr>
              <w:tc>
                <w:tcPr>
                  <w:tcW w:type="dxa" w:w="155"/>
                  <w:vMerge/>
                  <w:tcBorders>
                    <w:top w:val="none" w:color="000000" w:sz="4"/>
                    <w:left w:val="single" w:color="000000" w:sz="4"/>
                    <w:bottom w:val="single" w:color="000000" w:sz="4"/>
                    <w:right w:val="single" w:color="000000" w:sz="4"/>
                  </w:tcBorders>
                </w:tcPr>
                <w:p/>
              </w:tc>
              <w:tc>
                <w:tcPr>
                  <w:tcW w:type="dxa" w:w="155"/>
                  <w:vMerge/>
                  <w:tcBorders>
                    <w:top w:val="none" w:color="000000" w:sz="4"/>
                    <w:left w:val="single" w:color="000000" w:sz="4"/>
                    <w:bottom w:val="single" w:color="000000" w:sz="4"/>
                    <w:right w:val="single" w:color="000000" w:sz="4"/>
                  </w:tcBorders>
                </w:tcP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环保局边界站</w:t>
                  </w:r>
                </w:p>
              </w:tc>
              <w:tc>
                <w:tcPr>
                  <w:tcW w:type="dxa" w:w="12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各站点均包含在线</w:t>
                  </w:r>
                  <w:r>
                    <w:rPr>
                      <w:rFonts w:ascii="仿宋_GB2312" w:hAnsi="仿宋_GB2312" w:cs="仿宋_GB2312" w:eastAsia="仿宋_GB2312"/>
                      <w:sz w:val="24"/>
                      <w:color w:val="000000"/>
                    </w:rPr>
                    <w:t>PAMS挥发性有机物监测系统1套/上海磐合</w:t>
                  </w:r>
                </w:p>
              </w:tc>
              <w:tc>
                <w:tcPr>
                  <w:tcW w:type="dxa" w:w="4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1年</w:t>
                  </w:r>
                </w:p>
                <w:p>
                  <w:pPr>
                    <w:pStyle w:val="null3"/>
                    <w:jc w:val="both"/>
                  </w:pPr>
                  <w:r>
                    <w:rPr>
                      <w:rFonts w:ascii="仿宋_GB2312" w:hAnsi="仿宋_GB2312" w:cs="仿宋_GB2312" w:eastAsia="仿宋_GB2312"/>
                      <w:sz w:val="24"/>
                      <w:color w:val="000000"/>
                    </w:rPr>
                    <w:t>（自项目交接日起计算）</w:t>
                  </w:r>
                </w:p>
              </w:tc>
            </w:tr>
            <w:tr>
              <w:tc>
                <w:tcPr>
                  <w:tcW w:type="dxa" w:w="155"/>
                  <w:vMerge/>
                  <w:tcBorders>
                    <w:top w:val="none" w:color="000000" w:sz="4"/>
                    <w:left w:val="single" w:color="000000" w:sz="4"/>
                    <w:bottom w:val="single" w:color="000000" w:sz="4"/>
                    <w:right w:val="single" w:color="000000" w:sz="4"/>
                  </w:tcBorders>
                </w:tcPr>
                <w:p/>
              </w:tc>
              <w:tc>
                <w:tcPr>
                  <w:tcW w:type="dxa" w:w="155"/>
                  <w:vMerge/>
                  <w:tcBorders>
                    <w:top w:val="none" w:color="000000" w:sz="4"/>
                    <w:left w:val="single" w:color="000000" w:sz="4"/>
                    <w:bottom w:val="single" w:color="000000" w:sz="4"/>
                    <w:right w:val="single" w:color="000000" w:sz="4"/>
                  </w:tcBorders>
                </w:tcP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新港一路边界站</w:t>
                  </w:r>
                </w:p>
              </w:tc>
              <w:tc>
                <w:tcPr>
                  <w:tcW w:type="dxa" w:w="1268"/>
                  <w:vMerge/>
                  <w:tcBorders>
                    <w:top w:val="none" w:color="000000" w:sz="4"/>
                    <w:left w:val="single" w:color="000000" w:sz="4"/>
                    <w:bottom w:val="single" w:color="000000" w:sz="4"/>
                    <w:right w:val="single" w:color="000000" w:sz="4"/>
                  </w:tcBorders>
                </w:tcPr>
                <w:p/>
              </w:tc>
              <w:tc>
                <w:tcPr>
                  <w:tcW w:type="dxa" w:w="400"/>
                  <w:vMerge/>
                  <w:tcBorders>
                    <w:top w:val="none" w:color="000000" w:sz="4"/>
                    <w:left w:val="single" w:color="000000" w:sz="4"/>
                    <w:bottom w:val="single" w:color="000000" w:sz="4"/>
                    <w:right w:val="single" w:color="000000" w:sz="4"/>
                  </w:tcBorders>
                </w:tcPr>
                <w:p/>
              </w:tc>
            </w:tr>
            <w:tr>
              <w:tc>
                <w:tcPr>
                  <w:tcW w:type="dxa" w:w="155"/>
                  <w:vMerge/>
                  <w:tcBorders>
                    <w:top w:val="none" w:color="000000" w:sz="4"/>
                    <w:left w:val="single" w:color="000000" w:sz="4"/>
                    <w:bottom w:val="single" w:color="000000" w:sz="4"/>
                    <w:right w:val="single" w:color="000000" w:sz="4"/>
                  </w:tcBorders>
                </w:tcPr>
                <w:p/>
              </w:tc>
              <w:tc>
                <w:tcPr>
                  <w:tcW w:type="dxa" w:w="155"/>
                  <w:vMerge/>
                  <w:tcBorders>
                    <w:top w:val="none" w:color="000000" w:sz="4"/>
                    <w:left w:val="single" w:color="000000" w:sz="4"/>
                    <w:bottom w:val="single" w:color="000000" w:sz="4"/>
                    <w:right w:val="single" w:color="000000" w:sz="4"/>
                  </w:tcBorders>
                </w:tcP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蜀汉边界站</w:t>
                  </w:r>
                </w:p>
              </w:tc>
              <w:tc>
                <w:tcPr>
                  <w:tcW w:type="dxa" w:w="1268"/>
                  <w:vMerge/>
                  <w:tcBorders>
                    <w:top w:val="none" w:color="000000" w:sz="4"/>
                    <w:left w:val="single" w:color="000000" w:sz="4"/>
                    <w:bottom w:val="single" w:color="000000" w:sz="4"/>
                    <w:right w:val="single" w:color="000000" w:sz="4"/>
                  </w:tcBorders>
                </w:tcPr>
                <w:p/>
              </w:tc>
              <w:tc>
                <w:tcPr>
                  <w:tcW w:type="dxa" w:w="400"/>
                  <w:vMerge/>
                  <w:tcBorders>
                    <w:top w:val="none" w:color="000000" w:sz="4"/>
                    <w:left w:val="single" w:color="000000" w:sz="4"/>
                    <w:bottom w:val="single" w:color="000000" w:sz="4"/>
                    <w:right w:val="single" w:color="000000" w:sz="4"/>
                  </w:tcBorders>
                </w:tcPr>
                <w:p/>
              </w:tc>
            </w:tr>
            <w:tr>
              <w:tc>
                <w:tcPr>
                  <w:tcW w:type="dxa" w:w="155"/>
                  <w:vMerge/>
                  <w:tcBorders>
                    <w:top w:val="none" w:color="000000" w:sz="4"/>
                    <w:left w:val="single" w:color="000000" w:sz="4"/>
                    <w:bottom w:val="single" w:color="000000" w:sz="4"/>
                    <w:right w:val="single" w:color="000000" w:sz="4"/>
                  </w:tcBorders>
                </w:tcPr>
                <w:p/>
              </w:tc>
              <w:tc>
                <w:tcPr>
                  <w:tcW w:type="dxa" w:w="155"/>
                  <w:vMerge/>
                  <w:tcBorders>
                    <w:top w:val="none" w:color="000000" w:sz="4"/>
                    <w:left w:val="single" w:color="000000" w:sz="4"/>
                    <w:bottom w:val="single" w:color="000000" w:sz="4"/>
                    <w:right w:val="single" w:color="000000" w:sz="4"/>
                  </w:tcBorders>
                </w:tcP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新港十二路边界站</w:t>
                  </w:r>
                </w:p>
              </w:tc>
              <w:tc>
                <w:tcPr>
                  <w:tcW w:type="dxa" w:w="1268"/>
                  <w:vMerge/>
                  <w:tcBorders>
                    <w:top w:val="none" w:color="000000" w:sz="4"/>
                    <w:left w:val="single" w:color="000000" w:sz="4"/>
                    <w:bottom w:val="single" w:color="000000" w:sz="4"/>
                    <w:right w:val="single" w:color="000000" w:sz="4"/>
                  </w:tcBorders>
                </w:tcPr>
                <w:p/>
              </w:tc>
              <w:tc>
                <w:tcPr>
                  <w:tcW w:type="dxa" w:w="400"/>
                  <w:vMerge/>
                  <w:tcBorders>
                    <w:top w:val="none" w:color="000000" w:sz="4"/>
                    <w:left w:val="single" w:color="000000" w:sz="4"/>
                    <w:bottom w:val="single" w:color="000000" w:sz="4"/>
                    <w:right w:val="single" w:color="000000" w:sz="4"/>
                  </w:tcBorders>
                </w:tc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软件平台</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园区平台</w:t>
                  </w:r>
                </w:p>
              </w:tc>
              <w:tc>
                <w:tcPr>
                  <w:tcW w:type="dxa" w:w="1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园区</w:t>
                  </w:r>
                  <w:r>
                    <w:rPr>
                      <w:rFonts w:ascii="仿宋_GB2312" w:hAnsi="仿宋_GB2312" w:cs="仿宋_GB2312" w:eastAsia="仿宋_GB2312"/>
                      <w:sz w:val="24"/>
                      <w:color w:val="000000"/>
                    </w:rPr>
                    <w:t>VOCs三位一体管控软件系统</w:t>
                  </w:r>
                  <w:r>
                    <w:rPr>
                      <w:rFonts w:ascii="仿宋_GB2312" w:hAnsi="仿宋_GB2312" w:cs="仿宋_GB2312" w:eastAsia="仿宋_GB2312"/>
                      <w:sz w:val="24"/>
                      <w:color w:val="000000"/>
                    </w:rPr>
                    <w:t>/上海磐合</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1年</w:t>
                  </w:r>
                </w:p>
                <w:p>
                  <w:pPr>
                    <w:pStyle w:val="null3"/>
                    <w:jc w:val="both"/>
                  </w:pPr>
                  <w:r>
                    <w:rPr>
                      <w:rFonts w:ascii="仿宋_GB2312" w:hAnsi="仿宋_GB2312" w:cs="仿宋_GB2312" w:eastAsia="仿宋_GB2312"/>
                      <w:sz w:val="24"/>
                      <w:color w:val="000000"/>
                    </w:rPr>
                    <w:t>（自项目交接日起计算）</w:t>
                  </w:r>
                </w:p>
              </w:tc>
            </w:tr>
          </w:tbl>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三、技术要求</w:t>
            </w:r>
          </w:p>
          <w:p>
            <w:pPr>
              <w:pStyle w:val="null3"/>
              <w:ind w:firstLine="482"/>
              <w:jc w:val="left"/>
            </w:pPr>
            <w:r>
              <w:rPr>
                <w:rFonts w:ascii="仿宋_GB2312" w:hAnsi="仿宋_GB2312" w:cs="仿宋_GB2312" w:eastAsia="仿宋_GB2312"/>
                <w:sz w:val="24"/>
                <w:b/>
                <w:color w:val="000000"/>
              </w:rPr>
              <w:t xml:space="preserve">3.1 </w:t>
            </w:r>
            <w:r>
              <w:rPr>
                <w:rFonts w:ascii="仿宋_GB2312" w:hAnsi="仿宋_GB2312" w:cs="仿宋_GB2312" w:eastAsia="仿宋_GB2312"/>
                <w:sz w:val="24"/>
                <w:b/>
                <w:color w:val="000000"/>
              </w:rPr>
              <w:t>工作目标</w:t>
            </w:r>
          </w:p>
          <w:p>
            <w:pPr>
              <w:pStyle w:val="null3"/>
              <w:ind w:firstLine="480"/>
              <w:jc w:val="both"/>
            </w:pPr>
            <w:r>
              <w:rPr>
                <w:rFonts w:ascii="仿宋_GB2312" w:hAnsi="仿宋_GB2312" w:cs="仿宋_GB2312" w:eastAsia="仿宋_GB2312"/>
                <w:sz w:val="24"/>
              </w:rPr>
              <w:t>提供专业运营维护服务和负责空气站系统日常维护、仪器校准、数据处理等工作；负责仪器设备的耗材、配件供应及更换，确保所运营监测设施的正常运转，数据及时、准确、可靠上报</w:t>
            </w:r>
            <w:r>
              <w:rPr>
                <w:rFonts w:ascii="仿宋_GB2312" w:hAnsi="仿宋_GB2312" w:cs="仿宋_GB2312" w:eastAsia="仿宋_GB2312"/>
                <w:sz w:val="24"/>
              </w:rPr>
              <w:t>，</w:t>
            </w:r>
            <w:r>
              <w:rPr>
                <w:rFonts w:ascii="仿宋_GB2312" w:hAnsi="仿宋_GB2312" w:cs="仿宋_GB2312" w:eastAsia="仿宋_GB2312"/>
                <w:sz w:val="24"/>
              </w:rPr>
              <w:t>确保空气站系统能有效、正常、稳定的运转。</w:t>
            </w:r>
          </w:p>
          <w:p>
            <w:pPr>
              <w:pStyle w:val="null3"/>
              <w:ind w:firstLine="480"/>
              <w:jc w:val="left"/>
            </w:pPr>
            <w:r>
              <w:rPr>
                <w:rFonts w:ascii="仿宋_GB2312" w:hAnsi="仿宋_GB2312" w:cs="仿宋_GB2312" w:eastAsia="仿宋_GB2312"/>
                <w:sz w:val="24"/>
                <w:color w:val="000000"/>
              </w:rPr>
              <w:t>中标方运维服务期内，所获取的各项指标的有效监测数据必须满足《国家大气光化学监测网自动监测数据审核技术指南（</w:t>
            </w:r>
            <w:r>
              <w:rPr>
                <w:rFonts w:ascii="仿宋_GB2312" w:hAnsi="仿宋_GB2312" w:cs="仿宋_GB2312" w:eastAsia="仿宋_GB2312"/>
                <w:sz w:val="24"/>
                <w:color w:val="000000"/>
              </w:rPr>
              <w:t>2021版）（试行）》中规定的数据有效性最低要求，其中，监测数据捕获率不低于90%，有效数据率不低于80%（因不可抗力导致停电造成数据缺失在应有小时数中扣除，中标方应在事后及时提供相关证明材料进行报备）。</w:t>
            </w:r>
          </w:p>
          <w:p>
            <w:pPr>
              <w:pStyle w:val="null3"/>
              <w:ind w:firstLine="480"/>
              <w:jc w:val="left"/>
            </w:pPr>
            <w:r>
              <w:rPr>
                <w:rFonts w:ascii="仿宋_GB2312" w:hAnsi="仿宋_GB2312" w:cs="仿宋_GB2312" w:eastAsia="仿宋_GB2312"/>
                <w:sz w:val="24"/>
                <w:color w:val="000000"/>
              </w:rPr>
              <w:t>运维任务完成率</w:t>
            </w:r>
            <w:r>
              <w:rPr>
                <w:rFonts w:ascii="仿宋_GB2312" w:hAnsi="仿宋_GB2312" w:cs="仿宋_GB2312" w:eastAsia="仿宋_GB2312"/>
                <w:sz w:val="24"/>
                <w:color w:val="000000"/>
              </w:rPr>
              <w:t>100%，异常情况处理率 100%。</w:t>
            </w:r>
          </w:p>
          <w:p>
            <w:pPr>
              <w:pStyle w:val="null3"/>
              <w:ind w:firstLine="480"/>
              <w:jc w:val="left"/>
            </w:pPr>
            <w:r>
              <w:rPr>
                <w:rFonts w:ascii="仿宋_GB2312" w:hAnsi="仿宋_GB2312" w:cs="仿宋_GB2312" w:eastAsia="仿宋_GB2312"/>
                <w:sz w:val="24"/>
                <w:color w:val="000000"/>
              </w:rPr>
              <w:t>中标方提供</w:t>
            </w:r>
            <w:r>
              <w:rPr>
                <w:rFonts w:ascii="仿宋_GB2312" w:hAnsi="仿宋_GB2312" w:cs="仿宋_GB2312" w:eastAsia="仿宋_GB2312"/>
                <w:sz w:val="24"/>
                <w:color w:val="000000"/>
              </w:rPr>
              <w:t>7*24小时技术服务支持，响应时间小于1小时；</w:t>
            </w:r>
          </w:p>
          <w:p>
            <w:pPr>
              <w:pStyle w:val="null3"/>
              <w:ind w:firstLine="480"/>
              <w:jc w:val="left"/>
            </w:pPr>
            <w:r>
              <w:rPr>
                <w:rFonts w:ascii="仿宋_GB2312" w:hAnsi="仿宋_GB2312" w:cs="仿宋_GB2312" w:eastAsia="仿宋_GB2312"/>
                <w:sz w:val="24"/>
                <w:color w:val="000000"/>
              </w:rPr>
              <w:t>中标方建立现场设备维护记录和设备台账，并随时接受甲方检查。</w:t>
            </w:r>
          </w:p>
          <w:p>
            <w:pPr>
              <w:pStyle w:val="null3"/>
              <w:ind w:firstLine="482"/>
              <w:jc w:val="left"/>
            </w:pPr>
            <w:r>
              <w:rPr>
                <w:rFonts w:ascii="仿宋_GB2312" w:hAnsi="仿宋_GB2312" w:cs="仿宋_GB2312" w:eastAsia="仿宋_GB2312"/>
                <w:sz w:val="24"/>
                <w:b/>
                <w:color w:val="000000"/>
              </w:rPr>
              <w:t xml:space="preserve">3.2 </w:t>
            </w:r>
            <w:r>
              <w:rPr>
                <w:rFonts w:ascii="仿宋_GB2312" w:hAnsi="仿宋_GB2312" w:cs="仿宋_GB2312" w:eastAsia="仿宋_GB2312"/>
                <w:sz w:val="24"/>
                <w:b/>
                <w:color w:val="000000"/>
              </w:rPr>
              <w:t>运维要求</w:t>
            </w:r>
          </w:p>
          <w:p>
            <w:pPr>
              <w:pStyle w:val="null3"/>
              <w:ind w:firstLine="480"/>
              <w:jc w:val="left"/>
            </w:pPr>
            <w:r>
              <w:rPr>
                <w:rFonts w:ascii="仿宋_GB2312" w:hAnsi="仿宋_GB2312" w:cs="仿宋_GB2312" w:eastAsia="仿宋_GB2312"/>
                <w:sz w:val="24"/>
                <w:color w:val="000000"/>
              </w:rPr>
              <w:t>3.2.1</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基础保障</w:t>
            </w:r>
          </w:p>
          <w:p>
            <w:pPr>
              <w:pStyle w:val="null3"/>
              <w:ind w:firstLine="480"/>
              <w:jc w:val="left"/>
            </w:pPr>
            <w:r>
              <w:rPr>
                <w:rFonts w:ascii="仿宋_GB2312" w:hAnsi="仿宋_GB2312" w:cs="仿宋_GB2312" w:eastAsia="仿宋_GB2312"/>
                <w:sz w:val="24"/>
                <w:color w:val="000000"/>
              </w:rPr>
              <w:t>中标方中标后至少在所运维城市片区内提供</w:t>
            </w:r>
            <w:r>
              <w:rPr>
                <w:rFonts w:ascii="仿宋_GB2312" w:hAnsi="仿宋_GB2312" w:cs="仿宋_GB2312" w:eastAsia="仿宋_GB2312"/>
                <w:sz w:val="24"/>
                <w:color w:val="000000"/>
              </w:rPr>
              <w:t>1处固定办公场所设立</w:t>
            </w:r>
            <w:r>
              <w:rPr>
                <w:rFonts w:ascii="仿宋_GB2312" w:hAnsi="仿宋_GB2312" w:cs="仿宋_GB2312" w:eastAsia="仿宋_GB2312"/>
                <w:sz w:val="24"/>
                <w:color w:val="000000"/>
              </w:rPr>
              <w:t>VOCs空气站</w:t>
            </w:r>
            <w:r>
              <w:rPr>
                <w:rFonts w:ascii="仿宋_GB2312" w:hAnsi="仿宋_GB2312" w:cs="仿宋_GB2312" w:eastAsia="仿宋_GB2312"/>
                <w:sz w:val="24"/>
                <w:color w:val="000000"/>
              </w:rPr>
              <w:t>运维中心，以满足运维办公的需要，至少包括办公区、数据监控区、备品备件库和档案室；提供足够的车辆专门从事</w:t>
            </w:r>
            <w:r>
              <w:rPr>
                <w:rFonts w:ascii="仿宋_GB2312" w:hAnsi="仿宋_GB2312" w:cs="仿宋_GB2312" w:eastAsia="仿宋_GB2312"/>
                <w:sz w:val="24"/>
                <w:color w:val="000000"/>
              </w:rPr>
              <w:t>VOCs空气站</w:t>
            </w:r>
            <w:r>
              <w:rPr>
                <w:rFonts w:ascii="仿宋_GB2312" w:hAnsi="仿宋_GB2312" w:cs="仿宋_GB2312" w:eastAsia="仿宋_GB2312"/>
                <w:sz w:val="24"/>
                <w:color w:val="000000"/>
              </w:rPr>
              <w:t>运维工作，以满足运维时效性的要求；运维机构负责制定详细的交接和运维方案，方案内容应包括运维交接、维护、保养及质控的具体措施、频次、质量要求、记录格式以及所需标气、耗材及配件等，日常运维工作需严格按照方案执行；建立完善运维工作规范、质量管理体系以及数据三级审核制度，确保仪器正常运行和监测数据准确有效。</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2.2 人员配置</w:t>
            </w:r>
          </w:p>
          <w:p>
            <w:pPr>
              <w:pStyle w:val="null3"/>
              <w:ind w:firstLine="480"/>
              <w:jc w:val="left"/>
            </w:pPr>
            <w:r>
              <w:rPr>
                <w:rFonts w:ascii="仿宋_GB2312" w:hAnsi="仿宋_GB2312" w:cs="仿宋_GB2312" w:eastAsia="仿宋_GB2312"/>
                <w:sz w:val="24"/>
                <w:color w:val="000000"/>
              </w:rPr>
              <w:t>中标方中标后，根据采购方需求应组建项目团队开展</w:t>
            </w:r>
            <w:r>
              <w:rPr>
                <w:rFonts w:ascii="仿宋_GB2312" w:hAnsi="仿宋_GB2312" w:cs="仿宋_GB2312" w:eastAsia="仿宋_GB2312"/>
                <w:sz w:val="24"/>
                <w:color w:val="000000"/>
              </w:rPr>
              <w:t>VOCs空气 站</w:t>
            </w:r>
            <w:r>
              <w:rPr>
                <w:rFonts w:ascii="仿宋_GB2312" w:hAnsi="仿宋_GB2312" w:cs="仿宋_GB2312" w:eastAsia="仿宋_GB2312"/>
                <w:sz w:val="24"/>
                <w:color w:val="000000"/>
              </w:rPr>
              <w:t>运维工作，运维团队人员配置至少包括项目负责人、驻场人员、驻场售后维修人员和现场运维人员，人员具体要求如下。</w:t>
            </w:r>
          </w:p>
          <w:p>
            <w:pPr>
              <w:pStyle w:val="null3"/>
              <w:ind w:firstLine="480"/>
              <w:jc w:val="left"/>
            </w:pPr>
            <w:r>
              <w:rPr>
                <w:rFonts w:ascii="仿宋_GB2312" w:hAnsi="仿宋_GB2312" w:cs="仿宋_GB2312" w:eastAsia="仿宋_GB2312"/>
                <w:sz w:val="24"/>
                <w:color w:val="000000"/>
              </w:rPr>
              <w:t>项目负责人：</w:t>
            </w:r>
            <w:r>
              <w:rPr>
                <w:rFonts w:ascii="仿宋_GB2312" w:hAnsi="仿宋_GB2312" w:cs="仿宋_GB2312" w:eastAsia="仿宋_GB2312"/>
                <w:sz w:val="24"/>
                <w:color w:val="000000"/>
              </w:rPr>
              <w:t>1人，管理运维团队，提供各</w:t>
            </w:r>
            <w:r>
              <w:rPr>
                <w:rFonts w:ascii="仿宋_GB2312" w:hAnsi="仿宋_GB2312" w:cs="仿宋_GB2312" w:eastAsia="仿宋_GB2312"/>
                <w:sz w:val="24"/>
                <w:color w:val="000000"/>
              </w:rPr>
              <w:t>VOCs空气站</w:t>
            </w:r>
            <w:r>
              <w:rPr>
                <w:rFonts w:ascii="仿宋_GB2312" w:hAnsi="仿宋_GB2312" w:cs="仿宋_GB2312" w:eastAsia="仿宋_GB2312"/>
                <w:sz w:val="24"/>
                <w:color w:val="000000"/>
              </w:rPr>
              <w:t>点运维后勤保障，并沟通协调运维项目的其他相关事项，有</w:t>
            </w:r>
            <w:r>
              <w:rPr>
                <w:rFonts w:ascii="仿宋_GB2312" w:hAnsi="仿宋_GB2312" w:cs="仿宋_GB2312" w:eastAsia="仿宋_GB2312"/>
                <w:sz w:val="24"/>
                <w:color w:val="000000"/>
              </w:rPr>
              <w:t>1年及以上</w:t>
            </w:r>
            <w:r>
              <w:rPr>
                <w:rFonts w:ascii="仿宋_GB2312" w:hAnsi="仿宋_GB2312" w:cs="仿宋_GB2312" w:eastAsia="仿宋_GB2312"/>
                <w:sz w:val="24"/>
                <w:color w:val="000000"/>
              </w:rPr>
              <w:t>VOCs空气站</w:t>
            </w:r>
            <w:r>
              <w:rPr>
                <w:rFonts w:ascii="仿宋_GB2312" w:hAnsi="仿宋_GB2312" w:cs="仿宋_GB2312" w:eastAsia="仿宋_GB2312"/>
                <w:sz w:val="24"/>
                <w:color w:val="000000"/>
              </w:rPr>
              <w:t>运维项目管理经验。</w:t>
            </w:r>
          </w:p>
          <w:p>
            <w:pPr>
              <w:pStyle w:val="null3"/>
              <w:ind w:firstLine="480"/>
              <w:jc w:val="left"/>
            </w:pPr>
            <w:r>
              <w:rPr>
                <w:rFonts w:ascii="仿宋_GB2312" w:hAnsi="仿宋_GB2312" w:cs="仿宋_GB2312" w:eastAsia="仿宋_GB2312"/>
                <w:sz w:val="24"/>
                <w:color w:val="000000"/>
              </w:rPr>
              <w:t>驻场运维人员：至少配备</w:t>
            </w:r>
            <w:r>
              <w:rPr>
                <w:rFonts w:ascii="仿宋_GB2312" w:hAnsi="仿宋_GB2312" w:cs="仿宋_GB2312" w:eastAsia="仿宋_GB2312"/>
                <w:sz w:val="24"/>
                <w:color w:val="000000"/>
              </w:rPr>
              <w:t>1名专业技术人员在采购方单位进行驻点运维服务，学历为研究生及以上，专业为环境或化学类，负责运维站点的问题收集、整理、反馈、监测数据审核、分析以及采购方交办的其他相关工作，并接受采购方的管理。</w:t>
            </w:r>
          </w:p>
          <w:p>
            <w:pPr>
              <w:pStyle w:val="null3"/>
              <w:ind w:firstLine="480"/>
              <w:jc w:val="left"/>
            </w:pPr>
            <w:r>
              <w:rPr>
                <w:rFonts w:ascii="仿宋_GB2312" w:hAnsi="仿宋_GB2312" w:cs="仿宋_GB2312" w:eastAsia="仿宋_GB2312"/>
                <w:sz w:val="24"/>
                <w:color w:val="000000"/>
              </w:rPr>
              <w:t>驻场售后维修人员：至少提供</w:t>
            </w:r>
            <w:r>
              <w:rPr>
                <w:rFonts w:ascii="仿宋_GB2312" w:hAnsi="仿宋_GB2312" w:cs="仿宋_GB2312" w:eastAsia="仿宋_GB2312"/>
                <w:sz w:val="24"/>
                <w:color w:val="000000"/>
              </w:rPr>
              <w:t>1名售后维修人员在</w:t>
            </w:r>
            <w:r>
              <w:rPr>
                <w:rFonts w:ascii="仿宋_GB2312" w:hAnsi="仿宋_GB2312" w:cs="仿宋_GB2312" w:eastAsia="仿宋_GB2312"/>
                <w:sz w:val="24"/>
                <w:color w:val="000000"/>
              </w:rPr>
              <w:t>VOCs空气站</w:t>
            </w:r>
            <w:r>
              <w:rPr>
                <w:rFonts w:ascii="仿宋_GB2312" w:hAnsi="仿宋_GB2312" w:cs="仿宋_GB2312" w:eastAsia="仿宋_GB2312"/>
                <w:sz w:val="24"/>
                <w:color w:val="000000"/>
              </w:rPr>
              <w:t>运维中心驻点指导运维服务，要求至少具备一种运维的</w:t>
            </w:r>
            <w:r>
              <w:rPr>
                <w:rFonts w:ascii="仿宋_GB2312" w:hAnsi="仿宋_GB2312" w:cs="仿宋_GB2312" w:eastAsia="仿宋_GB2312"/>
                <w:sz w:val="24"/>
                <w:color w:val="000000"/>
              </w:rPr>
              <w:t>VOCs在线质谱分析仪设备生产厂商技术培训合格证书，负责运维服务期间VOC站内各台仪器备件更换和维修指导工作。</w:t>
            </w:r>
          </w:p>
          <w:p>
            <w:pPr>
              <w:pStyle w:val="null3"/>
              <w:ind w:firstLine="480"/>
              <w:jc w:val="left"/>
            </w:pPr>
            <w:r>
              <w:rPr>
                <w:rFonts w:ascii="仿宋_GB2312" w:hAnsi="仿宋_GB2312" w:cs="仿宋_GB2312" w:eastAsia="仿宋_GB2312"/>
                <w:sz w:val="24"/>
                <w:color w:val="000000"/>
              </w:rPr>
              <w:t>现场运维人员：</w:t>
            </w:r>
            <w:r>
              <w:rPr>
                <w:rFonts w:ascii="仿宋_GB2312" w:hAnsi="仿宋_GB2312" w:cs="仿宋_GB2312" w:eastAsia="仿宋_GB2312"/>
                <w:sz w:val="24"/>
                <w:color w:val="000000"/>
              </w:rPr>
              <w:t>至少</w:t>
            </w:r>
            <w:r>
              <w:rPr>
                <w:rFonts w:ascii="仿宋_GB2312" w:hAnsi="仿宋_GB2312" w:cs="仿宋_GB2312" w:eastAsia="仿宋_GB2312"/>
                <w:sz w:val="24"/>
                <w:color w:val="000000"/>
              </w:rPr>
              <w:t>每</w:t>
            </w:r>
            <w:r>
              <w:rPr>
                <w:rFonts w:ascii="仿宋_GB2312" w:hAnsi="仿宋_GB2312" w:cs="仿宋_GB2312" w:eastAsia="仿宋_GB2312"/>
                <w:sz w:val="24"/>
                <w:color w:val="000000"/>
              </w:rPr>
              <w:t>2</w:t>
            </w:r>
            <w:r>
              <w:rPr>
                <w:rFonts w:ascii="仿宋_GB2312" w:hAnsi="仿宋_GB2312" w:cs="仿宋_GB2312" w:eastAsia="仿宋_GB2312"/>
                <w:sz w:val="24"/>
                <w:color w:val="000000"/>
              </w:rPr>
              <w:t>个</w:t>
            </w:r>
            <w:r>
              <w:rPr>
                <w:rFonts w:ascii="仿宋_GB2312" w:hAnsi="仿宋_GB2312" w:cs="仿宋_GB2312" w:eastAsia="仿宋_GB2312"/>
                <w:sz w:val="24"/>
                <w:color w:val="000000"/>
              </w:rPr>
              <w:t>VOCs空气站</w:t>
            </w:r>
            <w:r>
              <w:rPr>
                <w:rFonts w:ascii="仿宋_GB2312" w:hAnsi="仿宋_GB2312" w:cs="仿宋_GB2312" w:eastAsia="仿宋_GB2312"/>
                <w:sz w:val="24"/>
                <w:color w:val="000000"/>
              </w:rPr>
              <w:t>原则上配备</w:t>
            </w:r>
            <w:r>
              <w:rPr>
                <w:rFonts w:ascii="仿宋_GB2312" w:hAnsi="仿宋_GB2312" w:cs="仿宋_GB2312" w:eastAsia="仿宋_GB2312"/>
                <w:sz w:val="24"/>
                <w:color w:val="000000"/>
              </w:rPr>
              <w:t>1名现场运维人员，学历为本科及以上，负责</w:t>
            </w:r>
            <w:r>
              <w:rPr>
                <w:rFonts w:ascii="仿宋_GB2312" w:hAnsi="仿宋_GB2312" w:cs="仿宋_GB2312" w:eastAsia="仿宋_GB2312"/>
                <w:sz w:val="24"/>
                <w:color w:val="000000"/>
              </w:rPr>
              <w:t>VOCs空气站</w:t>
            </w:r>
            <w:r>
              <w:rPr>
                <w:rFonts w:ascii="仿宋_GB2312" w:hAnsi="仿宋_GB2312" w:cs="仿宋_GB2312" w:eastAsia="仿宋_GB2312"/>
                <w:sz w:val="24"/>
                <w:color w:val="000000"/>
              </w:rPr>
              <w:t>的现场运维及数据初审工作，配合采购方或检查代理人、驻市中心等进行质量保证和质控工作，以及采购方交办的其他相关工作，并接受采购方的管理。</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2.3 耗材、备品备件保障</w:t>
            </w:r>
          </w:p>
          <w:p>
            <w:pPr>
              <w:pStyle w:val="null3"/>
              <w:ind w:firstLine="480"/>
              <w:jc w:val="left"/>
            </w:pPr>
            <w:r>
              <w:rPr>
                <w:rFonts w:ascii="仿宋_GB2312" w:hAnsi="仿宋_GB2312" w:cs="仿宋_GB2312" w:eastAsia="仿宋_GB2312"/>
                <w:sz w:val="24"/>
                <w:color w:val="000000"/>
              </w:rPr>
              <w:t>中标方负责</w:t>
            </w:r>
            <w:r>
              <w:rPr>
                <w:rFonts w:ascii="仿宋_GB2312" w:hAnsi="仿宋_GB2312" w:cs="仿宋_GB2312" w:eastAsia="仿宋_GB2312"/>
                <w:sz w:val="24"/>
                <w:color w:val="000000"/>
              </w:rPr>
              <w:t>VOC</w:t>
            </w:r>
            <w:r>
              <w:rPr>
                <w:rFonts w:ascii="仿宋_GB2312" w:hAnsi="仿宋_GB2312" w:cs="仿宋_GB2312" w:eastAsia="仿宋_GB2312"/>
                <w:sz w:val="24"/>
                <w:color w:val="000000"/>
              </w:rPr>
              <w:t>空气</w:t>
            </w:r>
            <w:r>
              <w:rPr>
                <w:rFonts w:ascii="仿宋_GB2312" w:hAnsi="仿宋_GB2312" w:cs="仿宋_GB2312" w:eastAsia="仿宋_GB2312"/>
                <w:sz w:val="24"/>
                <w:color w:val="000000"/>
              </w:rPr>
              <w:t>站维护所需的各种耗材、配件、备件以及质控校准设备等的购置和更换，备有足够的备品备件，对其使用情况进行定期清点，并根据实际需要进行增购。所更换的耗材和配件应与原使用的品格型号规格一致，如确需变更，应性能相当且提前得到采购方同意。按照规定的设备维护周期，不论是否损坏定期及时更换指定的配件。中标方需在运维开始后</w:t>
            </w:r>
            <w:r>
              <w:rPr>
                <w:rFonts w:ascii="仿宋_GB2312" w:hAnsi="仿宋_GB2312" w:cs="仿宋_GB2312" w:eastAsia="仿宋_GB2312"/>
                <w:sz w:val="24"/>
                <w:color w:val="000000"/>
              </w:rPr>
              <w:t>1个月内配齐各仪器半年耗材、配件、备件以及质控设备的储备。如出现设备故障，不应因备件缺失而耽误维修进程。使用的标液、标气等标准物质需要为有证标物，使用的流量计需要经过计量部门的检定。（耗材、配件、备件及质控设备建议清单见表3、4）。</w:t>
            </w:r>
          </w:p>
          <w:p>
            <w:pPr>
              <w:pStyle w:val="null3"/>
              <w:jc w:val="center"/>
            </w:pPr>
            <w:r>
              <w:rPr>
                <w:rFonts w:ascii="仿宋_GB2312" w:hAnsi="仿宋_GB2312" w:cs="仿宋_GB2312" w:eastAsia="仿宋_GB2312"/>
                <w:sz w:val="24"/>
                <w:b/>
                <w:color w:val="000000"/>
              </w:rPr>
              <w:t>表</w:t>
            </w:r>
            <w:r>
              <w:rPr>
                <w:rFonts w:ascii="仿宋_GB2312" w:hAnsi="仿宋_GB2312" w:cs="仿宋_GB2312" w:eastAsia="仿宋_GB2312"/>
                <w:sz w:val="24"/>
                <w:b/>
                <w:color w:val="000000"/>
              </w:rPr>
              <w:t>3 VOCs空气站运维耗材、配件、备件建议清单</w:t>
            </w:r>
          </w:p>
          <w:tbl>
            <w:tblPr>
              <w:tblBorders>
                <w:top w:val="none" w:color="000000" w:sz="4"/>
                <w:left w:val="none" w:color="000000" w:sz="4"/>
                <w:bottom w:val="none" w:color="000000" w:sz="4"/>
                <w:right w:val="none" w:color="000000" w:sz="4"/>
                <w:insideH w:val="none"/>
                <w:insideV w:val="none"/>
              </w:tblBorders>
            </w:tblPr>
            <w:tblGrid>
              <w:gridCol w:w="702"/>
              <w:gridCol w:w="1370"/>
              <w:gridCol w:w="481"/>
            </w:tblGrid>
            <w:tr>
              <w:tc>
                <w:tcPr>
                  <w:tcW w:type="dxa" w:w="7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仪器名称</w:t>
                  </w:r>
                </w:p>
              </w:tc>
              <w:tc>
                <w:tcPr>
                  <w:tcW w:type="dxa" w:w="13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耗材、备件名称</w:t>
                  </w:r>
                </w:p>
              </w:tc>
              <w:tc>
                <w:tcPr>
                  <w:tcW w:type="dxa" w:w="4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7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116组分在线监测系统（TT-GCMS、TT-GCTOF）</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冷阱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8</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KORI除水冷阱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2</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COV02橡胶圈</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COV07橡胶圈</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COV010橡胶圈</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传输线</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石英两通</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TOF灯丝</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4</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624色谱柱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氧化铝色谱柱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Deanswitch阻尼柱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色谱柱金属垫接头（</w:t>
                  </w:r>
                  <w:r>
                    <w:rPr>
                      <w:rFonts w:ascii="仿宋_GB2312" w:hAnsi="仿宋_GB2312" w:cs="仿宋_GB2312" w:eastAsia="仿宋_GB2312"/>
                      <w:sz w:val="24"/>
                      <w:color w:val="000000"/>
                    </w:rPr>
                    <w:t>0.25mm）</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2</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色谱柱金属垫接头（</w:t>
                  </w:r>
                  <w:r>
                    <w:rPr>
                      <w:rFonts w:ascii="仿宋_GB2312" w:hAnsi="仿宋_GB2312" w:cs="仿宋_GB2312" w:eastAsia="仿宋_GB2312"/>
                      <w:sz w:val="24"/>
                      <w:color w:val="000000"/>
                    </w:rPr>
                    <w:t>0.32mm）</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2</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MS端色谱柱Vespel垫</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2</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FID色谱柱石墨垫</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2</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载气净化器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TOF前级泵维护包</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2</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传输线</w:t>
                  </w:r>
                  <w:r>
                    <w:rPr>
                      <w:rFonts w:ascii="仿宋_GB2312" w:hAnsi="仿宋_GB2312" w:cs="仿宋_GB2312" w:eastAsia="仿宋_GB2312"/>
                      <w:sz w:val="24"/>
                      <w:color w:val="000000"/>
                    </w:rPr>
                    <w:t>Tip陶瓷接头</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2</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稀释标气</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18</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内标气</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高纯氦气</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8</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高纯氮气</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2</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纯净水</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16</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变色硅胶</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30</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甲醇</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标气</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2</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紫外辐射计校准费</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纸带</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4</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传感器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微孔过滤膜</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2</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色谱柱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2</w:t>
                  </w:r>
                </w:p>
              </w:tc>
            </w:tr>
            <w:tr>
              <w:tc>
                <w:tcPr>
                  <w:tcW w:type="dxa" w:w="7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PAMS在线监测系统（气相色谱法）</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冷阱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4</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除水膜</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COV02橡胶圈</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COV07橡胶圈</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COV010橡胶圈</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传输线</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石英两通</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624色谱柱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氧化铝色谱柱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Deanswitch阻尼柱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色谱柱金属垫接头（</w:t>
                  </w:r>
                  <w:r>
                    <w:rPr>
                      <w:rFonts w:ascii="仿宋_GB2312" w:hAnsi="仿宋_GB2312" w:cs="仿宋_GB2312" w:eastAsia="仿宋_GB2312"/>
                      <w:sz w:val="24"/>
                      <w:color w:val="000000"/>
                    </w:rPr>
                    <w:t>0.25mm）</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色谱柱金属垫接头（</w:t>
                  </w:r>
                  <w:r>
                    <w:rPr>
                      <w:rFonts w:ascii="仿宋_GB2312" w:hAnsi="仿宋_GB2312" w:cs="仿宋_GB2312" w:eastAsia="仿宋_GB2312"/>
                      <w:sz w:val="24"/>
                      <w:color w:val="000000"/>
                    </w:rPr>
                    <w:t>0.32mm）</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FID色谱柱石墨垫</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载气净化器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稀释标气</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18</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高纯氮气</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12</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纯净水</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16</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变色硅胶</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16</w:t>
                  </w:r>
                </w:p>
              </w:tc>
            </w:tr>
            <w:tr>
              <w:tc>
                <w:tcPr>
                  <w:tcW w:type="dxa" w:w="7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非甲烷总烃在线分析系统</w:t>
                  </w: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色谱柱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变色硅胶</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标气</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702"/>
                  <w:vMerge/>
                  <w:tcBorders>
                    <w:top w:val="none" w:color="000000" w:sz="4"/>
                    <w:left w:val="single" w:color="000000" w:sz="4"/>
                    <w:bottom w:val="single" w:color="000000" w:sz="4"/>
                    <w:right w:val="single" w:color="000000" w:sz="4"/>
                  </w:tcBorders>
                </w:tcPr>
                <w:p/>
              </w:tc>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活性炭</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r>
            <w:tr>
              <w:tc>
                <w:tcPr>
                  <w:tcW w:type="dxa" w:w="207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常规三参数监测设备年度耗材备件包</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07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恶臭电子鼻监测设备年度耗材备件包</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07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光解光谱仪监测设备年度耗材备件包</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bl>
          <w:p>
            <w:pPr>
              <w:pStyle w:val="null3"/>
              <w:spacing w:before="315"/>
              <w:jc w:val="center"/>
            </w:pPr>
            <w:r>
              <w:rPr>
                <w:rFonts w:ascii="仿宋_GB2312" w:hAnsi="仿宋_GB2312" w:cs="仿宋_GB2312" w:eastAsia="仿宋_GB2312"/>
                <w:sz w:val="24"/>
                <w:b/>
                <w:color w:val="000000"/>
              </w:rPr>
              <w:t>表</w:t>
            </w:r>
            <w:r>
              <w:rPr>
                <w:rFonts w:ascii="仿宋_GB2312" w:hAnsi="仿宋_GB2312" w:cs="仿宋_GB2312" w:eastAsia="仿宋_GB2312"/>
                <w:sz w:val="24"/>
                <w:b/>
                <w:color w:val="000000"/>
              </w:rPr>
              <w:t>4 VOCs空气站运维质控设备建议清单</w:t>
            </w:r>
          </w:p>
          <w:tbl>
            <w:tblPr>
              <w:tblBorders>
                <w:top w:val="none" w:color="000000" w:sz="4"/>
                <w:left w:val="none" w:color="000000" w:sz="4"/>
                <w:bottom w:val="none" w:color="000000" w:sz="4"/>
                <w:right w:val="none" w:color="000000" w:sz="4"/>
                <w:insideH w:val="none"/>
                <w:insideV w:val="none"/>
              </w:tblBorders>
            </w:tblPr>
            <w:tblGrid>
              <w:gridCol w:w="2079"/>
              <w:gridCol w:w="473"/>
            </w:tblGrid>
            <w:tr>
              <w:tc>
                <w:tcPr>
                  <w:tcW w:type="dxa" w:w="20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质控设备名称</w:t>
                  </w:r>
                </w:p>
              </w:tc>
              <w:tc>
                <w:tcPr>
                  <w:tcW w:type="dxa" w:w="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20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通用量程流量计</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0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标准气压计</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0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标准温度计</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0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稀释校准器</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bl>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2.</w:t>
            </w:r>
            <w:r>
              <w:rPr>
                <w:rFonts w:ascii="仿宋_GB2312" w:hAnsi="仿宋_GB2312" w:cs="仿宋_GB2312" w:eastAsia="仿宋_GB2312"/>
                <w:sz w:val="24"/>
                <w:color w:val="000000"/>
              </w:rPr>
              <w:t>4运维交接</w:t>
            </w:r>
          </w:p>
          <w:p>
            <w:pPr>
              <w:pStyle w:val="null3"/>
              <w:ind w:firstLine="480"/>
              <w:jc w:val="both"/>
            </w:pPr>
            <w:r>
              <w:rPr>
                <w:rFonts w:ascii="仿宋_GB2312" w:hAnsi="仿宋_GB2312" w:cs="仿宋_GB2312" w:eastAsia="仿宋_GB2312"/>
                <w:sz w:val="24"/>
                <w:color w:val="000000"/>
              </w:rPr>
              <w:t>整个交接过程应在</w:t>
            </w:r>
            <w:r>
              <w:rPr>
                <w:rFonts w:ascii="仿宋_GB2312" w:hAnsi="仿宋_GB2312" w:cs="仿宋_GB2312" w:eastAsia="仿宋_GB2312"/>
                <w:sz w:val="24"/>
                <w:color w:val="000000"/>
              </w:rPr>
              <w:t>1个月内完成，中标方按照交接方案完成耗材、配件、备件及质控设备的配置并完成办公场地、运维车辆和人员的准备，同时启动仪器的清点交接工作，交接过程中用到的标气等耗材由中标方提供，运维开始时间自交接完成之日起计算。</w:t>
            </w:r>
          </w:p>
          <w:p>
            <w:pPr>
              <w:pStyle w:val="null3"/>
              <w:ind w:firstLine="480"/>
              <w:jc w:val="both"/>
            </w:pPr>
            <w:r>
              <w:rPr>
                <w:rFonts w:ascii="仿宋_GB2312" w:hAnsi="仿宋_GB2312" w:cs="仿宋_GB2312" w:eastAsia="仿宋_GB2312"/>
                <w:sz w:val="24"/>
                <w:color w:val="000000"/>
              </w:rPr>
              <w:t>合同期满后交给下一个运维公司前，中标方需对</w:t>
            </w:r>
            <w:r>
              <w:rPr>
                <w:rFonts w:ascii="仿宋_GB2312" w:hAnsi="仿宋_GB2312" w:cs="仿宋_GB2312" w:eastAsia="仿宋_GB2312"/>
                <w:sz w:val="24"/>
                <w:color w:val="000000"/>
              </w:rPr>
              <w:t>VOCs站站房进行一次保洁、仪器柜的除锈，并做好站房、电源、网络等防雷系统的年检工作（交接前需提交有效期内的年检报告），确保消防设施至少有半年以上有效使用期，并配合采购方和下一个运维公司的交接工作。</w:t>
            </w:r>
          </w:p>
          <w:p>
            <w:pPr>
              <w:pStyle w:val="null3"/>
              <w:ind w:firstLine="480"/>
              <w:jc w:val="both"/>
            </w:pPr>
            <w:r>
              <w:rPr>
                <w:rFonts w:ascii="仿宋_GB2312" w:hAnsi="仿宋_GB2312" w:cs="仿宋_GB2312" w:eastAsia="仿宋_GB2312"/>
                <w:sz w:val="24"/>
                <w:color w:val="000000"/>
              </w:rPr>
              <w:t>运行维护期间，如遇原有仪器老化、故障，采购方为</w:t>
            </w:r>
            <w:r>
              <w:rPr>
                <w:rFonts w:ascii="仿宋_GB2312" w:hAnsi="仿宋_GB2312" w:cs="仿宋_GB2312" w:eastAsia="仿宋_GB2312"/>
                <w:sz w:val="24"/>
                <w:color w:val="000000"/>
              </w:rPr>
              <w:t>VOCs站更换或新增仪器的，中标方须配合做好新仪器的安装、调试等工作，并协调新仪器通过验收后数据上传至采购方指定的管理平台。</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2.5 维修</w:t>
            </w:r>
          </w:p>
          <w:p>
            <w:pPr>
              <w:pStyle w:val="null3"/>
              <w:ind w:firstLine="480"/>
              <w:jc w:val="both"/>
            </w:pPr>
            <w:r>
              <w:rPr>
                <w:rFonts w:ascii="仿宋_GB2312" w:hAnsi="仿宋_GB2312" w:cs="仿宋_GB2312" w:eastAsia="仿宋_GB2312"/>
                <w:sz w:val="24"/>
                <w:color w:val="000000"/>
              </w:rPr>
              <w:t>中标方负责所有仪器和辅助设施的维修和配件更换费用。对仪器运维期间出现的故障及损坏负责联系厂家维修，仪器经过维修后，在正常使用和运行之前必须确保维修内容全部完成，性能通过检测程序，按国家有关技术规定对仪器进行校准检查；若监测仪器主要分析单元进行了更换，在正常使用和运行之前必须对仪器进行比对实验和校准检查使之符合质量控制要求。对运行过程中的仪器故障中标方负责在规定时间内进行返厂维修或由有资质的人员进行维修。</w:t>
            </w:r>
            <w:r>
              <w:rPr>
                <w:rFonts w:ascii="仿宋_GB2312" w:hAnsi="仿宋_GB2312" w:cs="仿宋_GB2312" w:eastAsia="仿宋_GB2312"/>
                <w:sz w:val="24"/>
                <w:color w:val="000000"/>
              </w:rPr>
              <w:t>UPS、蓄电池组、空调等辅助设施均交由中标方管理，若需维修或更换，费用均由中标方负责。</w:t>
            </w:r>
          </w:p>
          <w:p>
            <w:pPr>
              <w:pStyle w:val="null3"/>
              <w:ind w:firstLine="480"/>
              <w:jc w:val="both"/>
            </w:pPr>
            <w:r>
              <w:rPr>
                <w:rFonts w:ascii="仿宋_GB2312" w:hAnsi="仿宋_GB2312" w:cs="仿宋_GB2312" w:eastAsia="仿宋_GB2312"/>
                <w:sz w:val="24"/>
                <w:color w:val="000000"/>
              </w:rPr>
              <w:t>监测系统出现故障，中标方应在</w:t>
            </w:r>
            <w:r>
              <w:rPr>
                <w:rFonts w:ascii="仿宋_GB2312" w:hAnsi="仿宋_GB2312" w:cs="仿宋_GB2312" w:eastAsia="仿宋_GB2312"/>
                <w:sz w:val="24"/>
                <w:color w:val="000000"/>
              </w:rPr>
              <w:t>1小时之内响应，4小时内到达现场解决（通信线路、电力线路故障除外，但应及时与相关部门联系积极解决），对于一般故障，如电磁阀控制失灵、膜裂（损）、气路堵塞、数采仪死机等，中标方的维修时间不应超过4小时。若仪器故障短时间内无法排除，立即向采购方报备，并联系仪器厂家进行维修，48小时内仍然无法恢复，应在72小时内启用备机，备机的安装调试以及数据上传应在10天内完成。故障排除期间，如需监测系统停机，应向采购方报备。仪器故障排除后，运维人员应在24小时内向采购方提供故障维修报告。</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2.6 应急预案</w:t>
            </w:r>
          </w:p>
          <w:p>
            <w:pPr>
              <w:pStyle w:val="null3"/>
              <w:ind w:firstLine="480"/>
              <w:jc w:val="both"/>
            </w:pPr>
            <w:r>
              <w:rPr>
                <w:rFonts w:ascii="仿宋_GB2312" w:hAnsi="仿宋_GB2312" w:cs="仿宋_GB2312" w:eastAsia="仿宋_GB2312"/>
                <w:sz w:val="24"/>
                <w:color w:val="000000"/>
              </w:rPr>
              <w:t>中标方应编制</w:t>
            </w:r>
            <w:r>
              <w:rPr>
                <w:rFonts w:ascii="仿宋_GB2312" w:hAnsi="仿宋_GB2312" w:cs="仿宋_GB2312" w:eastAsia="仿宋_GB2312"/>
                <w:sz w:val="24"/>
                <w:color w:val="000000"/>
              </w:rPr>
              <w:t>VOCs站点运维应急预案，明确如遇重大活动保障（进口博览</w:t>
            </w:r>
          </w:p>
          <w:p>
            <w:pPr>
              <w:pStyle w:val="null3"/>
              <w:ind w:firstLine="480"/>
              <w:jc w:val="both"/>
            </w:pPr>
            <w:r>
              <w:rPr>
                <w:rFonts w:ascii="仿宋_GB2312" w:hAnsi="仿宋_GB2312" w:cs="仿宋_GB2312" w:eastAsia="仿宋_GB2312"/>
                <w:sz w:val="24"/>
                <w:color w:val="000000"/>
              </w:rPr>
              <w:t>会等），需按照活动保障方案进行运维、质控和数据审核工作，并且在重大活动保障和重污染时段，设备不得无故停机，非必要的校准、质控和维护等，应于污染过程结束后开展。</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2.7 费用</w:t>
            </w:r>
          </w:p>
          <w:p>
            <w:pPr>
              <w:pStyle w:val="null3"/>
              <w:ind w:firstLine="480"/>
              <w:jc w:val="both"/>
            </w:pPr>
            <w:r>
              <w:rPr>
                <w:rFonts w:ascii="仿宋_GB2312" w:hAnsi="仿宋_GB2312" w:cs="仿宋_GB2312" w:eastAsia="仿宋_GB2312"/>
                <w:sz w:val="24"/>
                <w:color w:val="000000"/>
              </w:rPr>
              <w:t>中标方负责试剂耗材、备品备件及质控设备等的采购费用，承担</w:t>
            </w:r>
            <w:r>
              <w:rPr>
                <w:rFonts w:ascii="仿宋_GB2312" w:hAnsi="仿宋_GB2312" w:cs="仿宋_GB2312" w:eastAsia="仿宋_GB2312"/>
                <w:sz w:val="24"/>
                <w:color w:val="000000"/>
              </w:rPr>
              <w:t>VOCs站的</w:t>
            </w:r>
          </w:p>
          <w:p>
            <w:pPr>
              <w:pStyle w:val="null3"/>
              <w:ind w:firstLine="480"/>
              <w:jc w:val="both"/>
            </w:pPr>
            <w:r>
              <w:rPr>
                <w:rFonts w:ascii="仿宋_GB2312" w:hAnsi="仿宋_GB2312" w:cs="仿宋_GB2312" w:eastAsia="仿宋_GB2312"/>
                <w:sz w:val="24"/>
                <w:color w:val="000000"/>
              </w:rPr>
              <w:t>消防、安全、防雷、供电、网络通讯和废液处置费用等，以及运维服务团队人员的车辆使用、电脑、打印机、打印纸及其他办公产生的费用。</w:t>
            </w:r>
          </w:p>
          <w:p>
            <w:pPr>
              <w:pStyle w:val="null3"/>
              <w:ind w:firstLine="480"/>
              <w:jc w:val="both"/>
            </w:pPr>
            <w:r>
              <w:rPr>
                <w:rFonts w:ascii="仿宋_GB2312" w:hAnsi="仿宋_GB2312" w:cs="仿宋_GB2312" w:eastAsia="仿宋_GB2312"/>
                <w:sz w:val="24"/>
                <w:color w:val="000000"/>
              </w:rPr>
              <w:t>因运维不当或者管理不到位，导致仪器等物品损毁造成损失的，中标方应给予等价赔偿。</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2.8 保密责任</w:t>
            </w:r>
          </w:p>
          <w:p>
            <w:pPr>
              <w:pStyle w:val="null3"/>
              <w:ind w:firstLine="480"/>
              <w:jc w:val="both"/>
            </w:pPr>
            <w:r>
              <w:rPr>
                <w:rFonts w:ascii="仿宋_GB2312" w:hAnsi="仿宋_GB2312" w:cs="仿宋_GB2312" w:eastAsia="仿宋_GB2312"/>
                <w:sz w:val="24"/>
                <w:color w:val="000000"/>
              </w:rPr>
              <w:t>中标方应承担监测数据的保密责任（签订保密协议），不得利用本项目的数据、档案或有关资料对外开展技术交流、业务联系、数据交换、文章发表等。否则，采购方有权终止合同。成交供应商无权将委托方的任何资产进行对外投资、合作、经济担保及资产抵押。</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2.9 其他</w:t>
            </w:r>
          </w:p>
          <w:p>
            <w:pPr>
              <w:pStyle w:val="null3"/>
              <w:ind w:firstLine="480"/>
              <w:jc w:val="both"/>
            </w:pPr>
            <w:r>
              <w:rPr>
                <w:rFonts w:ascii="仿宋_GB2312" w:hAnsi="仿宋_GB2312" w:cs="仿宋_GB2312" w:eastAsia="仿宋_GB2312"/>
                <w:sz w:val="24"/>
                <w:color w:val="000000"/>
              </w:rPr>
              <w:t>中标方对</w:t>
            </w:r>
            <w:r>
              <w:rPr>
                <w:rFonts w:ascii="仿宋_GB2312" w:hAnsi="仿宋_GB2312" w:cs="仿宋_GB2312" w:eastAsia="仿宋_GB2312"/>
                <w:sz w:val="24"/>
                <w:color w:val="000000"/>
              </w:rPr>
              <w:t>VOCs站运行产生的废液按相关管理规定进行储存并处置。</w:t>
            </w:r>
          </w:p>
          <w:p>
            <w:pPr>
              <w:pStyle w:val="null3"/>
              <w:ind w:firstLine="480"/>
              <w:jc w:val="both"/>
            </w:pPr>
            <w:r>
              <w:rPr>
                <w:rFonts w:ascii="仿宋_GB2312" w:hAnsi="仿宋_GB2312" w:cs="仿宋_GB2312" w:eastAsia="仿宋_GB2312"/>
                <w:sz w:val="24"/>
                <w:color w:val="000000"/>
              </w:rPr>
              <w:t>对于中国环境监测总站的终审回退的数据问题，收到总站要求的回退意见之后，须在规定时间内回复完成，并上传总站平台。</w:t>
            </w:r>
          </w:p>
          <w:p>
            <w:pPr>
              <w:pStyle w:val="null3"/>
              <w:ind w:firstLine="482"/>
              <w:jc w:val="left"/>
            </w:pPr>
            <w:r>
              <w:rPr>
                <w:rFonts w:ascii="仿宋_GB2312" w:hAnsi="仿宋_GB2312" w:cs="仿宋_GB2312" w:eastAsia="仿宋_GB2312"/>
                <w:sz w:val="24"/>
                <w:b/>
                <w:color w:val="000000"/>
              </w:rPr>
              <w:t xml:space="preserve">3.3 </w:t>
            </w:r>
            <w:r>
              <w:rPr>
                <w:rFonts w:ascii="仿宋_GB2312" w:hAnsi="仿宋_GB2312" w:cs="仿宋_GB2312" w:eastAsia="仿宋_GB2312"/>
                <w:sz w:val="24"/>
                <w:b/>
                <w:color w:val="000000"/>
              </w:rPr>
              <w:t>运维工作具体要求</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3.1 基本要求</w:t>
            </w:r>
          </w:p>
          <w:p>
            <w:pPr>
              <w:pStyle w:val="null3"/>
              <w:ind w:firstLine="480"/>
              <w:jc w:val="both"/>
            </w:pPr>
            <w:r>
              <w:rPr>
                <w:rFonts w:ascii="仿宋_GB2312" w:hAnsi="仿宋_GB2312" w:cs="仿宋_GB2312" w:eastAsia="仿宋_GB2312"/>
                <w:sz w:val="24"/>
                <w:color w:val="000000"/>
              </w:rPr>
              <w:t>中标方应遵守生态环境部、中国环境监测总站、</w:t>
            </w:r>
            <w:r>
              <w:rPr>
                <w:rFonts w:ascii="仿宋_GB2312" w:hAnsi="仿宋_GB2312" w:cs="仿宋_GB2312" w:eastAsia="仿宋_GB2312"/>
                <w:sz w:val="24"/>
                <w:color w:val="000000"/>
              </w:rPr>
              <w:t>陕西</w:t>
            </w:r>
            <w:r>
              <w:rPr>
                <w:rFonts w:ascii="仿宋_GB2312" w:hAnsi="仿宋_GB2312" w:cs="仿宋_GB2312" w:eastAsia="仿宋_GB2312"/>
                <w:sz w:val="24"/>
                <w:color w:val="000000"/>
              </w:rPr>
              <w:t>省</w:t>
            </w:r>
            <w:r>
              <w:rPr>
                <w:rFonts w:ascii="仿宋_GB2312" w:hAnsi="仿宋_GB2312" w:cs="仿宋_GB2312" w:eastAsia="仿宋_GB2312"/>
                <w:sz w:val="24"/>
                <w:color w:val="000000"/>
              </w:rPr>
              <w:t>环境监测中心站</w:t>
            </w:r>
            <w:r>
              <w:rPr>
                <w:rFonts w:ascii="仿宋_GB2312" w:hAnsi="仿宋_GB2312" w:cs="仿宋_GB2312" w:eastAsia="仿宋_GB2312"/>
                <w:sz w:val="24"/>
                <w:color w:val="000000"/>
              </w:rPr>
              <w:t>、</w:t>
            </w:r>
            <w:r>
              <w:rPr>
                <w:rFonts w:ascii="仿宋_GB2312" w:hAnsi="仿宋_GB2312" w:cs="仿宋_GB2312" w:eastAsia="仿宋_GB2312"/>
                <w:sz w:val="24"/>
                <w:color w:val="000000"/>
              </w:rPr>
              <w:t>西安市环境监测站</w:t>
            </w:r>
            <w:r>
              <w:rPr>
                <w:rFonts w:ascii="仿宋_GB2312" w:hAnsi="仿宋_GB2312" w:cs="仿宋_GB2312" w:eastAsia="仿宋_GB2312"/>
                <w:sz w:val="24"/>
                <w:color w:val="000000"/>
              </w:rPr>
              <w:t>关于</w:t>
            </w:r>
            <w:r>
              <w:rPr>
                <w:rFonts w:ascii="仿宋_GB2312" w:hAnsi="仿宋_GB2312" w:cs="仿宋_GB2312" w:eastAsia="仿宋_GB2312"/>
                <w:sz w:val="24"/>
                <w:color w:val="000000"/>
              </w:rPr>
              <w:t>VOCs</w:t>
            </w:r>
            <w:r>
              <w:rPr>
                <w:rFonts w:ascii="仿宋_GB2312" w:hAnsi="仿宋_GB2312" w:cs="仿宋_GB2312" w:eastAsia="仿宋_GB2312"/>
                <w:sz w:val="24"/>
                <w:color w:val="000000"/>
              </w:rPr>
              <w:t>空气</w:t>
            </w:r>
            <w:r>
              <w:rPr>
                <w:rFonts w:ascii="仿宋_GB2312" w:hAnsi="仿宋_GB2312" w:cs="仿宋_GB2312" w:eastAsia="仿宋_GB2312"/>
                <w:sz w:val="24"/>
                <w:color w:val="000000"/>
              </w:rPr>
              <w:t>站运行管理的各项规定，并根据《国家环境空气监测网环境空气挥发性有机物连续自动监测质量控制技术规定（试行）》、《环境空气非甲烷总烃连续自动监测技术规定（试行）》和《国家环境空气质量监测网城市站运行管理实施细则（试行）》等相关技术规范对</w:t>
            </w:r>
            <w:r>
              <w:rPr>
                <w:rFonts w:ascii="仿宋_GB2312" w:hAnsi="仿宋_GB2312" w:cs="仿宋_GB2312" w:eastAsia="仿宋_GB2312"/>
                <w:sz w:val="24"/>
                <w:color w:val="000000"/>
              </w:rPr>
              <w:t>工业园区</w:t>
            </w:r>
            <w:r>
              <w:rPr>
                <w:rFonts w:ascii="仿宋_GB2312" w:hAnsi="仿宋_GB2312" w:cs="仿宋_GB2312" w:eastAsia="仿宋_GB2312"/>
                <w:sz w:val="24"/>
                <w:color w:val="000000"/>
              </w:rPr>
              <w:t>VOCs</w:t>
            </w:r>
            <w:r>
              <w:rPr>
                <w:rFonts w:ascii="仿宋_GB2312" w:hAnsi="仿宋_GB2312" w:cs="仿宋_GB2312" w:eastAsia="仿宋_GB2312"/>
                <w:sz w:val="24"/>
                <w:color w:val="000000"/>
              </w:rPr>
              <w:t>空气</w:t>
            </w:r>
            <w:r>
              <w:rPr>
                <w:rFonts w:ascii="仿宋_GB2312" w:hAnsi="仿宋_GB2312" w:cs="仿宋_GB2312" w:eastAsia="仿宋_GB2312"/>
                <w:sz w:val="24"/>
                <w:color w:val="000000"/>
              </w:rPr>
              <w:t>站进行运行维护，负责站</w:t>
            </w:r>
            <w:r>
              <w:rPr>
                <w:rFonts w:ascii="仿宋_GB2312" w:hAnsi="仿宋_GB2312" w:cs="仿宋_GB2312" w:eastAsia="仿宋_GB2312"/>
                <w:sz w:val="24"/>
                <w:color w:val="000000"/>
              </w:rPr>
              <w:t>点</w:t>
            </w:r>
            <w:r>
              <w:rPr>
                <w:rFonts w:ascii="仿宋_GB2312" w:hAnsi="仿宋_GB2312" w:cs="仿宋_GB2312" w:eastAsia="仿宋_GB2312"/>
                <w:sz w:val="24"/>
                <w:color w:val="000000"/>
              </w:rPr>
              <w:t>各台仪器、数采、数据分析平台、辅助设施的日常维护，保证</w:t>
            </w:r>
            <w:r>
              <w:rPr>
                <w:rFonts w:ascii="仿宋_GB2312" w:hAnsi="仿宋_GB2312" w:cs="仿宋_GB2312" w:eastAsia="仿宋_GB2312"/>
                <w:sz w:val="24"/>
                <w:color w:val="000000"/>
              </w:rPr>
              <w:t>VOC站的正常运行和联网状态正常。如运维期间生态环境部、中国环境监测总站、</w:t>
            </w:r>
            <w:r>
              <w:rPr>
                <w:rFonts w:ascii="仿宋_GB2312" w:hAnsi="仿宋_GB2312" w:cs="仿宋_GB2312" w:eastAsia="仿宋_GB2312"/>
                <w:sz w:val="24"/>
                <w:color w:val="000000"/>
              </w:rPr>
              <w:t>陕西</w:t>
            </w:r>
            <w:r>
              <w:rPr>
                <w:rFonts w:ascii="仿宋_GB2312" w:hAnsi="仿宋_GB2312" w:cs="仿宋_GB2312" w:eastAsia="仿宋_GB2312"/>
                <w:sz w:val="24"/>
                <w:color w:val="000000"/>
              </w:rPr>
              <w:t>省生态环境厅、</w:t>
            </w:r>
            <w:r>
              <w:rPr>
                <w:rFonts w:ascii="仿宋_GB2312" w:hAnsi="仿宋_GB2312" w:cs="仿宋_GB2312" w:eastAsia="仿宋_GB2312"/>
                <w:sz w:val="24"/>
                <w:color w:val="000000"/>
              </w:rPr>
              <w:t>陕西</w:t>
            </w:r>
            <w:r>
              <w:rPr>
                <w:rFonts w:ascii="仿宋_GB2312" w:hAnsi="仿宋_GB2312" w:cs="仿宋_GB2312" w:eastAsia="仿宋_GB2312"/>
                <w:sz w:val="24"/>
                <w:color w:val="000000"/>
              </w:rPr>
              <w:t>省</w:t>
            </w:r>
            <w:r>
              <w:rPr>
                <w:rFonts w:ascii="仿宋_GB2312" w:hAnsi="仿宋_GB2312" w:cs="仿宋_GB2312" w:eastAsia="仿宋_GB2312"/>
                <w:sz w:val="24"/>
                <w:color w:val="000000"/>
              </w:rPr>
              <w:t>环境监测中心站、西安市环境监测站出台新的大气光化学监测网运行管理规定，则运维工作要求随之执行最新规定。</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3.2 运维质量体系要求</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3.2.1 人员要求</w:t>
            </w:r>
          </w:p>
          <w:p>
            <w:pPr>
              <w:pStyle w:val="null3"/>
              <w:ind w:firstLine="480"/>
              <w:jc w:val="both"/>
            </w:pPr>
            <w:r>
              <w:rPr>
                <w:rFonts w:ascii="仿宋_GB2312" w:hAnsi="仿宋_GB2312" w:cs="仿宋_GB2312" w:eastAsia="仿宋_GB2312"/>
                <w:sz w:val="24"/>
                <w:color w:val="000000"/>
              </w:rPr>
              <w:t>根据其负责的监测系统和运维任务对技术人员进行必要的理论和实操培训，使其能够熟练的掌握系统的运维和质控操作。掌握耗材备件更换及必要的维护工作，并熟练使用数据平台，能够及时判断系统运行的异常并进行重积分、异常数据标识等。责任方应对人员能力进行考核确认，并建立相应的人员档案，保存人员的培训和考核记录。</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3.2.2 关键技术文件要求</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1）质量管理工作计划</w:t>
            </w:r>
          </w:p>
          <w:p>
            <w:pPr>
              <w:pStyle w:val="null3"/>
              <w:ind w:firstLine="480"/>
              <w:jc w:val="both"/>
            </w:pPr>
            <w:r>
              <w:rPr>
                <w:rFonts w:ascii="仿宋_GB2312" w:hAnsi="仿宋_GB2312" w:cs="仿宋_GB2312" w:eastAsia="仿宋_GB2312"/>
                <w:sz w:val="24"/>
                <w:color w:val="000000"/>
              </w:rPr>
              <w:t>制定相应的质量管理工作计划，明确各项运维工作、数据审核和标识工作、</w:t>
            </w:r>
          </w:p>
          <w:p>
            <w:pPr>
              <w:pStyle w:val="null3"/>
              <w:ind w:firstLine="480"/>
              <w:jc w:val="both"/>
            </w:pPr>
            <w:r>
              <w:rPr>
                <w:rFonts w:ascii="仿宋_GB2312" w:hAnsi="仿宋_GB2312" w:cs="仿宋_GB2312" w:eastAsia="仿宋_GB2312"/>
                <w:sz w:val="24"/>
                <w:color w:val="000000"/>
              </w:rPr>
              <w:t>质控工作、量值传递工作的负责人员、时间频次、合格标准、耗品耗材、标准气体、计量标准器具等各项要求。</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2）作业指导书</w:t>
            </w:r>
          </w:p>
          <w:p>
            <w:pPr>
              <w:pStyle w:val="null3"/>
              <w:ind w:firstLine="480"/>
              <w:jc w:val="both"/>
            </w:pPr>
            <w:r>
              <w:rPr>
                <w:rFonts w:ascii="仿宋_GB2312" w:hAnsi="仿宋_GB2312" w:cs="仿宋_GB2312" w:eastAsia="仿宋_GB2312"/>
                <w:sz w:val="24"/>
                <w:color w:val="000000"/>
              </w:rPr>
              <w:t>根据负责运维的系统设备、标准气体、计量标准器具</w:t>
            </w:r>
            <w:r>
              <w:rPr>
                <w:rFonts w:ascii="仿宋_GB2312" w:hAnsi="仿宋_GB2312" w:cs="仿宋_GB2312" w:eastAsia="仿宋_GB2312"/>
                <w:sz w:val="24"/>
                <w:color w:val="000000"/>
              </w:rPr>
              <w:t>以及制定的质量管理</w:t>
            </w:r>
          </w:p>
          <w:p>
            <w:pPr>
              <w:pStyle w:val="null3"/>
              <w:ind w:firstLine="480"/>
              <w:jc w:val="both"/>
            </w:pPr>
            <w:r>
              <w:rPr>
                <w:rFonts w:ascii="仿宋_GB2312" w:hAnsi="仿宋_GB2312" w:cs="仿宋_GB2312" w:eastAsia="仿宋_GB2312"/>
                <w:sz w:val="24"/>
                <w:color w:val="000000"/>
              </w:rPr>
              <w:t>工作计划制定相应的作业指导书，明确各项运维工作、质控工作、数据审核工作、数据标识的具体要求，指导运维技术人员开展相关工作。</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3）记录表格</w:t>
            </w:r>
          </w:p>
          <w:p>
            <w:pPr>
              <w:pStyle w:val="null3"/>
              <w:ind w:firstLine="480"/>
              <w:jc w:val="both"/>
            </w:pPr>
            <w:r>
              <w:rPr>
                <w:rFonts w:ascii="仿宋_GB2312" w:hAnsi="仿宋_GB2312" w:cs="仿宋_GB2312" w:eastAsia="仿宋_GB2312"/>
                <w:sz w:val="24"/>
                <w:color w:val="000000"/>
              </w:rPr>
              <w:t>根据负责运维的系统设备、标准气体、计量标准器具</w:t>
            </w:r>
            <w:r>
              <w:rPr>
                <w:rFonts w:ascii="仿宋_GB2312" w:hAnsi="仿宋_GB2312" w:cs="仿宋_GB2312" w:eastAsia="仿宋_GB2312"/>
                <w:sz w:val="24"/>
                <w:color w:val="000000"/>
              </w:rPr>
              <w:t>以及制定的作业指导</w:t>
            </w:r>
          </w:p>
          <w:p>
            <w:pPr>
              <w:pStyle w:val="null3"/>
              <w:ind w:firstLine="480"/>
              <w:jc w:val="both"/>
            </w:pPr>
            <w:r>
              <w:rPr>
                <w:rFonts w:ascii="仿宋_GB2312" w:hAnsi="仿宋_GB2312" w:cs="仿宋_GB2312" w:eastAsia="仿宋_GB2312"/>
                <w:sz w:val="24"/>
                <w:color w:val="000000"/>
              </w:rPr>
              <w:t>书制定相应的记录表格，记录表格应包括各项运维工作、质控工作、维修工作等，并放置于点位现场备查，具体表格见附表。</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3.2.3 内部监督检查要求</w:t>
            </w:r>
          </w:p>
          <w:p>
            <w:pPr>
              <w:pStyle w:val="null3"/>
              <w:ind w:firstLine="480"/>
              <w:jc w:val="both"/>
            </w:pPr>
            <w:r>
              <w:rPr>
                <w:rFonts w:ascii="仿宋_GB2312" w:hAnsi="仿宋_GB2312" w:cs="仿宋_GB2312" w:eastAsia="仿宋_GB2312"/>
                <w:sz w:val="24"/>
                <w:color w:val="000000"/>
              </w:rPr>
              <w:t>组织专门的监督核查人员或采用交叉检查的方式定期对其运维的站点开展</w:t>
            </w:r>
          </w:p>
          <w:p>
            <w:pPr>
              <w:pStyle w:val="null3"/>
              <w:ind w:firstLine="480"/>
              <w:jc w:val="both"/>
            </w:pPr>
            <w:r>
              <w:rPr>
                <w:rFonts w:ascii="仿宋_GB2312" w:hAnsi="仿宋_GB2312" w:cs="仿宋_GB2312" w:eastAsia="仿宋_GB2312"/>
                <w:sz w:val="24"/>
                <w:color w:val="000000"/>
              </w:rPr>
              <w:t>独立、系统的内部核查，核查应涵盖运维与质控的关键环节。各单位应如实、详细记录其内部核查结果，并在站点保存备份内部核查记录。</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3.3 日常运维要求</w:t>
            </w:r>
          </w:p>
          <w:p>
            <w:pPr>
              <w:pStyle w:val="null3"/>
              <w:ind w:firstLine="480"/>
              <w:jc w:val="both"/>
            </w:pPr>
            <w:r>
              <w:rPr>
                <w:rFonts w:ascii="仿宋_GB2312" w:hAnsi="仿宋_GB2312" w:cs="仿宋_GB2312" w:eastAsia="仿宋_GB2312"/>
                <w:sz w:val="24"/>
                <w:color w:val="000000"/>
              </w:rPr>
              <w:t>具体运维服务内容包括但不局限于如下：</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3.3.1 每日维护内容</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1）仪器状态检查</w:t>
            </w:r>
          </w:p>
          <w:p>
            <w:pPr>
              <w:pStyle w:val="null3"/>
              <w:ind w:firstLine="480"/>
              <w:jc w:val="both"/>
            </w:pPr>
            <w:r>
              <w:rPr>
                <w:rFonts w:ascii="仿宋_GB2312" w:hAnsi="仿宋_GB2312" w:cs="仿宋_GB2312" w:eastAsia="仿宋_GB2312"/>
                <w:sz w:val="24"/>
                <w:color w:val="000000"/>
              </w:rPr>
              <w:t>检查站点网络情况、仪器数据文件完整性和数据传输情况，检查站房内温度、</w:t>
            </w:r>
            <w:r>
              <w:rPr>
                <w:rFonts w:ascii="仿宋_GB2312" w:hAnsi="仿宋_GB2312" w:cs="仿宋_GB2312" w:eastAsia="仿宋_GB2312"/>
                <w:sz w:val="24"/>
                <w:color w:val="000000"/>
              </w:rPr>
              <w:t>湿度</w:t>
            </w:r>
            <w:r>
              <w:rPr>
                <w:rFonts w:ascii="仿宋_GB2312" w:hAnsi="仿宋_GB2312" w:cs="仿宋_GB2312" w:eastAsia="仿宋_GB2312"/>
                <w:sz w:val="24"/>
                <w:color w:val="000000"/>
              </w:rPr>
              <w:t>以及其他辅助设施情况。每日对各系统仪器运行状态至少进行</w:t>
            </w:r>
            <w:r>
              <w:rPr>
                <w:rFonts w:ascii="仿宋_GB2312" w:hAnsi="仿宋_GB2312" w:cs="仿宋_GB2312" w:eastAsia="仿宋_GB2312"/>
                <w:sz w:val="24"/>
                <w:color w:val="000000"/>
              </w:rPr>
              <w:t>3次检查，检查间隔不小于4小时，检查内容</w:t>
            </w:r>
            <w:r>
              <w:rPr>
                <w:rFonts w:ascii="仿宋_GB2312" w:hAnsi="仿宋_GB2312" w:cs="仿宋_GB2312" w:eastAsia="仿宋_GB2312"/>
                <w:sz w:val="24"/>
                <w:color w:val="000000"/>
              </w:rPr>
              <w:t>包含</w:t>
            </w:r>
            <w:r>
              <w:rPr>
                <w:rFonts w:ascii="仿宋_GB2312" w:hAnsi="仿宋_GB2312" w:cs="仿宋_GB2312" w:eastAsia="仿宋_GB2312"/>
                <w:sz w:val="24"/>
                <w:color w:val="000000"/>
              </w:rPr>
              <w:t>是否有报警等异常提示，富集</w:t>
            </w:r>
            <w:r>
              <w:rPr>
                <w:rFonts w:ascii="仿宋_GB2312" w:hAnsi="仿宋_GB2312" w:cs="仿宋_GB2312" w:eastAsia="仿宋_GB2312"/>
                <w:sz w:val="24"/>
                <w:color w:val="000000"/>
              </w:rPr>
              <w:t>/解析模块、分析模块的温度、气压、时间、流量、电压等重要参数是否正常，以及分析模块的FID 温度、柱箱温度、柱前压、保留时间等重要参数是否正常</w:t>
            </w:r>
            <w:r>
              <w:rPr>
                <w:rFonts w:ascii="仿宋_GB2312" w:hAnsi="仿宋_GB2312" w:cs="仿宋_GB2312" w:eastAsia="仿宋_GB2312"/>
                <w:sz w:val="24"/>
                <w:color w:val="000000"/>
              </w:rPr>
              <w:t>，并做好相关记录</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2）基线检查</w:t>
            </w:r>
          </w:p>
          <w:p>
            <w:pPr>
              <w:pStyle w:val="null3"/>
              <w:ind w:firstLine="480"/>
              <w:jc w:val="both"/>
            </w:pPr>
            <w:r>
              <w:rPr>
                <w:rFonts w:ascii="仿宋_GB2312" w:hAnsi="仿宋_GB2312" w:cs="仿宋_GB2312" w:eastAsia="仿宋_GB2312"/>
                <w:sz w:val="24"/>
                <w:color w:val="000000"/>
              </w:rPr>
              <w:t>按照厂家说明书或作业指导书要求检查色谱图基线（质谱应使用</w:t>
            </w:r>
            <w:r>
              <w:rPr>
                <w:rFonts w:ascii="仿宋_GB2312" w:hAnsi="仿宋_GB2312" w:cs="仿宋_GB2312" w:eastAsia="仿宋_GB2312"/>
                <w:sz w:val="24"/>
                <w:color w:val="000000"/>
              </w:rPr>
              <w:t>TIC 图）是否存在异常漂移和异常波动，特别是水份对色谱图基线的影响。如存在异常漂移和波动，应及时标识或剔除异常数据或对受影响的目标化合物进行重积分。</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3）保留时间漂移</w:t>
            </w:r>
          </w:p>
          <w:p>
            <w:pPr>
              <w:pStyle w:val="null3"/>
              <w:ind w:firstLine="480"/>
              <w:jc w:val="both"/>
            </w:pPr>
            <w:r>
              <w:rPr>
                <w:rFonts w:ascii="仿宋_GB2312" w:hAnsi="仿宋_GB2312" w:cs="仿宋_GB2312" w:eastAsia="仿宋_GB2312"/>
                <w:sz w:val="24"/>
                <w:color w:val="000000"/>
              </w:rPr>
              <w:t>根据保留时间前、中、后各段经常检出且浓度较高的特征</w:t>
            </w:r>
            <w:r>
              <w:rPr>
                <w:rFonts w:ascii="仿宋_GB2312" w:hAnsi="仿宋_GB2312" w:cs="仿宋_GB2312" w:eastAsia="仿宋_GB2312"/>
                <w:sz w:val="24"/>
                <w:color w:val="000000"/>
              </w:rPr>
              <w:t>VOCs组分检查保留时间漂移是否超出0.5min，如超出要求应重新设置保留时间积分窗。重点关注漂移是否影响监测组分的自动积分，特别是FID检测器上面的5种化合物的保留时间，如有影响，应进行重积分。另外，应审核系统中心切割点是否影响目标化合物的积分，特别是二氯二氟甲烷化合物的出峰及积分情况。</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4）质谱检测器检查</w:t>
            </w:r>
          </w:p>
          <w:p>
            <w:pPr>
              <w:pStyle w:val="null3"/>
              <w:ind w:firstLine="480"/>
              <w:jc w:val="both"/>
            </w:pPr>
            <w:r>
              <w:rPr>
                <w:rFonts w:ascii="仿宋_GB2312" w:hAnsi="仿宋_GB2312" w:cs="仿宋_GB2312" w:eastAsia="仿宋_GB2312"/>
                <w:sz w:val="24"/>
                <w:color w:val="000000"/>
              </w:rPr>
              <w:t>对质谱</w:t>
            </w:r>
            <w:r>
              <w:rPr>
                <w:rFonts w:ascii="仿宋_GB2312" w:hAnsi="仿宋_GB2312" w:cs="仿宋_GB2312" w:eastAsia="仿宋_GB2312"/>
                <w:sz w:val="24"/>
                <w:color w:val="000000"/>
              </w:rPr>
              <w:t>4种内标化合物特征离子丰度进行检查，质谱四种内标化合物定量离子峰面积变化应在校准曲线绘制时离子峰面积的50%~150%范围内，超出范围则进行检查或重新校准。并参照氟利昂11、112、113等天然源组分的检出浓度</w:t>
            </w:r>
            <w:r>
              <w:rPr>
                <w:rFonts w:ascii="仿宋_GB2312" w:hAnsi="仿宋_GB2312" w:cs="仿宋_GB2312" w:eastAsia="仿宋_GB2312"/>
                <w:sz w:val="24"/>
                <w:color w:val="000000"/>
              </w:rPr>
              <w:t>，</w:t>
            </w:r>
            <w:r>
              <w:rPr>
                <w:rFonts w:ascii="仿宋_GB2312" w:hAnsi="仿宋_GB2312" w:cs="仿宋_GB2312" w:eastAsia="仿宋_GB2312"/>
                <w:sz w:val="24"/>
                <w:color w:val="000000"/>
              </w:rPr>
              <w:t>可将其作为天然内标系统定量稳定性。</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5）数据标识与重积分</w:t>
            </w:r>
          </w:p>
          <w:p>
            <w:pPr>
              <w:pStyle w:val="null3"/>
              <w:ind w:firstLine="480"/>
              <w:jc w:val="both"/>
            </w:pPr>
            <w:r>
              <w:rPr>
                <w:rFonts w:ascii="仿宋_GB2312" w:hAnsi="仿宋_GB2312" w:cs="仿宋_GB2312" w:eastAsia="仿宋_GB2312"/>
                <w:sz w:val="24"/>
                <w:color w:val="000000"/>
              </w:rPr>
              <w:t>日审核结束后，应对异常数据进行无效标识或剔除，并对需要进行重积分的谱图和色谱峰进行重积分。</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6）日数据审核及运维记录</w:t>
            </w:r>
          </w:p>
          <w:p>
            <w:pPr>
              <w:pStyle w:val="null3"/>
              <w:ind w:firstLine="480"/>
              <w:jc w:val="both"/>
            </w:pPr>
            <w:r>
              <w:rPr>
                <w:rFonts w:ascii="仿宋_GB2312" w:hAnsi="仿宋_GB2312" w:cs="仿宋_GB2312" w:eastAsia="仿宋_GB2312"/>
                <w:sz w:val="24"/>
                <w:color w:val="000000"/>
              </w:rPr>
              <w:t>日数据审核要求于当日</w:t>
            </w:r>
            <w:r>
              <w:rPr>
                <w:rFonts w:ascii="仿宋_GB2312" w:hAnsi="仿宋_GB2312" w:cs="仿宋_GB2312" w:eastAsia="仿宋_GB2312"/>
                <w:sz w:val="24"/>
                <w:color w:val="000000"/>
              </w:rPr>
              <w:t>12:00前完成前一日监测数据的审核，并上传至采购方指定数据平台。按照规范要求填写日运维记录，要求真实可靠，并于当日完成。</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3.3.2 周维护内容</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1）监测站房及辅助设备周巡检</w:t>
            </w:r>
          </w:p>
          <w:p>
            <w:pPr>
              <w:pStyle w:val="null3"/>
              <w:ind w:firstLine="480"/>
              <w:jc w:val="both"/>
            </w:pPr>
            <w:r>
              <w:rPr>
                <w:rFonts w:ascii="仿宋_GB2312" w:hAnsi="仿宋_GB2312" w:cs="仿宋_GB2312" w:eastAsia="仿宋_GB2312"/>
                <w:sz w:val="24"/>
                <w:color w:val="000000"/>
              </w:rPr>
              <w:t>监测站房及周边环境应满足</w:t>
            </w:r>
            <w:r>
              <w:rPr>
                <w:rFonts w:ascii="仿宋_GB2312" w:hAnsi="仿宋_GB2312" w:cs="仿宋_GB2312" w:eastAsia="仿宋_GB2312"/>
                <w:sz w:val="24"/>
                <w:color w:val="000000"/>
              </w:rPr>
              <w:t>HJ193相关要求。监测站房及辅助设备日常巡检应满足HJ818相关要求。运维人员应对子站站房及辅助设备定期巡检</w:t>
            </w:r>
            <w:r>
              <w:rPr>
                <w:rFonts w:ascii="仿宋_GB2312" w:hAnsi="仿宋_GB2312" w:cs="仿宋_GB2312" w:eastAsia="仿宋_GB2312"/>
                <w:sz w:val="24"/>
                <w:color w:val="000000"/>
              </w:rPr>
              <w:t>，</w:t>
            </w:r>
            <w:r>
              <w:rPr>
                <w:rFonts w:ascii="仿宋_GB2312" w:hAnsi="仿宋_GB2312" w:cs="仿宋_GB2312" w:eastAsia="仿宋_GB2312"/>
                <w:sz w:val="24"/>
                <w:color w:val="000000"/>
              </w:rPr>
              <w:t>每周至少现场巡检</w:t>
            </w:r>
            <w:r>
              <w:rPr>
                <w:rFonts w:ascii="仿宋_GB2312" w:hAnsi="仿宋_GB2312" w:cs="仿宋_GB2312" w:eastAsia="仿宋_GB2312"/>
                <w:sz w:val="24"/>
                <w:color w:val="000000"/>
              </w:rPr>
              <w:t>1次，巡检工作主要包括</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①、检查站房内温度是否保持在25℃±3℃（要求站房温度波动稳定），相对湿度保持在85%以下。</w:t>
            </w:r>
          </w:p>
          <w:p>
            <w:pPr>
              <w:pStyle w:val="null3"/>
              <w:ind w:firstLine="480"/>
              <w:jc w:val="both"/>
            </w:pPr>
            <w:r>
              <w:rPr>
                <w:rFonts w:ascii="仿宋_GB2312" w:hAnsi="仿宋_GB2312" w:cs="仿宋_GB2312" w:eastAsia="仿宋_GB2312"/>
                <w:sz w:val="24"/>
                <w:color w:val="000000"/>
              </w:rPr>
              <w:t>②、在冬、夏季节应注意站房内外温差，应及时调整站房温度; 检查采样总管加热装置和气路保温措施（一般温度在40-45℃），防止因温差造成采样装置出现冷凝水的现象。</w:t>
            </w:r>
          </w:p>
          <w:p>
            <w:pPr>
              <w:pStyle w:val="null3"/>
              <w:ind w:firstLine="480"/>
              <w:jc w:val="both"/>
            </w:pPr>
            <w:r>
              <w:rPr>
                <w:rFonts w:ascii="仿宋_GB2312" w:hAnsi="仿宋_GB2312" w:cs="仿宋_GB2312" w:eastAsia="仿宋_GB2312"/>
                <w:sz w:val="24"/>
                <w:color w:val="000000"/>
              </w:rPr>
              <w:t>③、检查采样总管进气、排气是否正常。</w:t>
            </w:r>
          </w:p>
          <w:p>
            <w:pPr>
              <w:pStyle w:val="null3"/>
              <w:ind w:firstLine="480"/>
              <w:jc w:val="both"/>
            </w:pPr>
            <w:r>
              <w:rPr>
                <w:rFonts w:ascii="仿宋_GB2312" w:hAnsi="仿宋_GB2312" w:cs="仿宋_GB2312" w:eastAsia="仿宋_GB2312"/>
                <w:sz w:val="24"/>
                <w:color w:val="000000"/>
              </w:rPr>
              <w:t>④、检查采样支管是否存在冷凝水，如果存在冷凝水应及时进 行清洁干燥处理。</w:t>
            </w:r>
          </w:p>
          <w:p>
            <w:pPr>
              <w:pStyle w:val="null3"/>
              <w:ind w:firstLine="480"/>
              <w:jc w:val="both"/>
            </w:pPr>
            <w:r>
              <w:rPr>
                <w:rFonts w:ascii="仿宋_GB2312" w:hAnsi="仿宋_GB2312" w:cs="仿宋_GB2312" w:eastAsia="仿宋_GB2312"/>
                <w:sz w:val="24"/>
                <w:color w:val="000000"/>
              </w:rPr>
              <w:t>⑤、检查站房排风排气装置工作是否正常。</w:t>
            </w:r>
          </w:p>
          <w:p>
            <w:pPr>
              <w:pStyle w:val="null3"/>
              <w:ind w:firstLine="480"/>
              <w:jc w:val="both"/>
            </w:pPr>
            <w:r>
              <w:rPr>
                <w:rFonts w:ascii="仿宋_GB2312" w:hAnsi="仿宋_GB2312" w:cs="仿宋_GB2312" w:eastAsia="仿宋_GB2312"/>
                <w:sz w:val="24"/>
                <w:color w:val="000000"/>
              </w:rPr>
              <w:t>⑥、检查标气、辅助气钢瓶阀门是否漏气;检查标气和辅助气有效期、压力，气瓶压力低于2Mpa（或系统相关要求值）前应更换。</w:t>
            </w:r>
          </w:p>
          <w:p>
            <w:pPr>
              <w:pStyle w:val="null3"/>
              <w:ind w:firstLine="480"/>
              <w:jc w:val="both"/>
            </w:pPr>
            <w:r>
              <w:rPr>
                <w:rFonts w:ascii="仿宋_GB2312" w:hAnsi="仿宋_GB2312" w:cs="仿宋_GB2312" w:eastAsia="仿宋_GB2312"/>
                <w:sz w:val="24"/>
                <w:color w:val="000000"/>
              </w:rPr>
              <w:t>⑦、如采用气体发生器，应检查气体发生器的工作状态，及时补充纯水</w:t>
            </w:r>
            <w:r>
              <w:rPr>
                <w:rFonts w:ascii="仿宋_GB2312" w:hAnsi="仿宋_GB2312" w:cs="仿宋_GB2312" w:eastAsia="仿宋_GB2312"/>
                <w:sz w:val="24"/>
                <w:color w:val="000000"/>
              </w:rPr>
              <w:t>、</w:t>
            </w:r>
            <w:r>
              <w:rPr>
                <w:rFonts w:ascii="仿宋_GB2312" w:hAnsi="仿宋_GB2312" w:cs="仿宋_GB2312" w:eastAsia="仿宋_GB2312"/>
                <w:sz w:val="24"/>
                <w:color w:val="000000"/>
              </w:rPr>
              <w:t>更换干燥硅胶、活性碳或无水氯化钙。</w:t>
            </w:r>
          </w:p>
          <w:p>
            <w:pPr>
              <w:pStyle w:val="null3"/>
              <w:ind w:firstLine="480"/>
              <w:jc w:val="both"/>
            </w:pPr>
            <w:r>
              <w:rPr>
                <w:rFonts w:ascii="仿宋_GB2312" w:hAnsi="仿宋_GB2312" w:cs="仿宋_GB2312" w:eastAsia="仿宋_GB2312"/>
                <w:sz w:val="24"/>
                <w:color w:val="000000"/>
              </w:rPr>
              <w:t>⑧、检查数据采集、传输与网络通讯是否正常。</w:t>
            </w:r>
          </w:p>
          <w:p>
            <w:pPr>
              <w:pStyle w:val="null3"/>
              <w:ind w:firstLine="480"/>
              <w:jc w:val="both"/>
            </w:pPr>
            <w:r>
              <w:rPr>
                <w:rFonts w:ascii="仿宋_GB2312" w:hAnsi="仿宋_GB2312" w:cs="仿宋_GB2312" w:eastAsia="仿宋_GB2312"/>
                <w:sz w:val="24"/>
                <w:color w:val="000000"/>
              </w:rPr>
              <w:t>⑨、检查各种运维工具、系统耗材、备件是否完好齐全。</w:t>
            </w:r>
          </w:p>
          <w:p>
            <w:pPr>
              <w:pStyle w:val="null3"/>
              <w:ind w:firstLine="480"/>
              <w:jc w:val="both"/>
            </w:pPr>
            <w:r>
              <w:rPr>
                <w:rFonts w:ascii="仿宋_GB2312" w:hAnsi="仿宋_GB2312" w:cs="仿宋_GB2312" w:eastAsia="仿宋_GB2312"/>
                <w:sz w:val="24"/>
                <w:color w:val="000000"/>
              </w:rPr>
              <w:t>⑩、检查空调、电源等辅助设备的运行状况是否正常，检查站 房空调机的过滤网是否清洁，必要时进行清洗。</w:t>
            </w:r>
          </w:p>
          <w:p>
            <w:pPr>
              <w:pStyle w:val="null3"/>
              <w:ind w:firstLine="480"/>
              <w:jc w:val="both"/>
            </w:pPr>
            <w:r>
              <w:rPr>
                <w:rFonts w:ascii="仿宋_GB2312" w:hAnsi="仿宋_GB2312" w:cs="仿宋_GB2312" w:eastAsia="仿宋_GB2312"/>
                <w:sz w:val="24"/>
                <w:color w:val="000000"/>
              </w:rPr>
              <w:t>⑪、检查各种消防、安全设施是否完好齐全。检查各种消防、安全设施是否完好齐全。</w:t>
            </w:r>
          </w:p>
          <w:p>
            <w:pPr>
              <w:pStyle w:val="null3"/>
              <w:ind w:firstLine="480"/>
              <w:jc w:val="both"/>
            </w:pPr>
            <w:r>
              <w:rPr>
                <w:rFonts w:ascii="仿宋_GB2312" w:hAnsi="仿宋_GB2312" w:cs="仿宋_GB2312" w:eastAsia="仿宋_GB2312"/>
                <w:sz w:val="24"/>
                <w:color w:val="000000"/>
              </w:rPr>
              <w:t>⑫、对站房周围的杂草和积水应及时清除;对采样有影响的树枝应及时进行剪除。</w:t>
            </w:r>
          </w:p>
          <w:p>
            <w:pPr>
              <w:pStyle w:val="null3"/>
              <w:ind w:firstLine="480"/>
              <w:jc w:val="both"/>
            </w:pPr>
            <w:r>
              <w:rPr>
                <w:rFonts w:ascii="仿宋_GB2312" w:hAnsi="仿宋_GB2312" w:cs="仿宋_GB2312" w:eastAsia="仿宋_GB2312"/>
                <w:sz w:val="24"/>
                <w:color w:val="000000"/>
              </w:rPr>
              <w:t>⑬、检查避雷设施是否正常，子站房屋是否有漏雨现象，气象杆是否损坏。</w:t>
            </w:r>
          </w:p>
          <w:p>
            <w:pPr>
              <w:pStyle w:val="null3"/>
              <w:ind w:firstLine="480"/>
              <w:jc w:val="both"/>
            </w:pPr>
            <w:r>
              <w:rPr>
                <w:rFonts w:ascii="仿宋_GB2312" w:hAnsi="仿宋_GB2312" w:cs="仿宋_GB2312" w:eastAsia="仿宋_GB2312"/>
                <w:sz w:val="24"/>
                <w:color w:val="000000"/>
              </w:rPr>
              <w:t>⑭、记录巡检情况。</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2）硬件周巡检</w:t>
            </w:r>
          </w:p>
          <w:p>
            <w:pPr>
              <w:pStyle w:val="null3"/>
              <w:ind w:firstLine="480"/>
              <w:jc w:val="both"/>
            </w:pPr>
            <w:r>
              <w:rPr>
                <w:rFonts w:ascii="仿宋_GB2312" w:hAnsi="仿宋_GB2312" w:cs="仿宋_GB2312" w:eastAsia="仿宋_GB2312"/>
                <w:sz w:val="24"/>
                <w:color w:val="000000"/>
              </w:rPr>
              <w:t>①、富集模块硬件检查</w:t>
            </w:r>
          </w:p>
          <w:p>
            <w:pPr>
              <w:pStyle w:val="null3"/>
              <w:ind w:firstLine="480"/>
              <w:jc w:val="both"/>
            </w:pPr>
            <w:r>
              <w:rPr>
                <w:rFonts w:ascii="仿宋_GB2312" w:hAnsi="仿宋_GB2312" w:cs="仿宋_GB2312" w:eastAsia="仿宋_GB2312"/>
                <w:sz w:val="24"/>
                <w:color w:val="000000"/>
              </w:rPr>
              <w:t>检查采样管路是否存在冷凝水，更换采样滤膜，检查采样管状况。如采样管经常存在冷凝水，应适当对采样管进行加热，且不低于室外环境空气温度。</w:t>
            </w:r>
          </w:p>
          <w:p>
            <w:pPr>
              <w:pStyle w:val="null3"/>
              <w:ind w:firstLine="480"/>
              <w:jc w:val="both"/>
            </w:pPr>
            <w:r>
              <w:rPr>
                <w:rFonts w:ascii="仿宋_GB2312" w:hAnsi="仿宋_GB2312" w:cs="仿宋_GB2312" w:eastAsia="仿宋_GB2312"/>
                <w:sz w:val="24"/>
                <w:color w:val="000000"/>
              </w:rPr>
              <w:t>②、色谱与检测器硬件检查</w:t>
            </w:r>
          </w:p>
          <w:p>
            <w:pPr>
              <w:pStyle w:val="null3"/>
              <w:ind w:firstLine="480"/>
              <w:jc w:val="both"/>
            </w:pPr>
            <w:r>
              <w:rPr>
                <w:rFonts w:ascii="仿宋_GB2312" w:hAnsi="仿宋_GB2312" w:cs="仿宋_GB2312" w:eastAsia="仿宋_GB2312"/>
                <w:sz w:val="24"/>
                <w:color w:val="000000"/>
              </w:rPr>
              <w:t>检查载气净化装置并及时更换。检查氮氢空一体机运行情况。</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3）自动监测系统周巡检</w:t>
            </w:r>
          </w:p>
          <w:p>
            <w:pPr>
              <w:pStyle w:val="null3"/>
              <w:ind w:firstLine="480"/>
              <w:jc w:val="both"/>
            </w:pPr>
            <w:r>
              <w:rPr>
                <w:rFonts w:ascii="仿宋_GB2312" w:hAnsi="仿宋_GB2312" w:cs="仿宋_GB2312" w:eastAsia="仿宋_GB2312"/>
                <w:sz w:val="24"/>
                <w:color w:val="000000"/>
              </w:rPr>
              <w:t>①、富集/解析模块参数设置检查。</w:t>
            </w:r>
          </w:p>
          <w:p>
            <w:pPr>
              <w:pStyle w:val="null3"/>
              <w:ind w:firstLine="480"/>
              <w:jc w:val="both"/>
            </w:pPr>
            <w:r>
              <w:rPr>
                <w:rFonts w:ascii="仿宋_GB2312" w:hAnsi="仿宋_GB2312" w:cs="仿宋_GB2312" w:eastAsia="仿宋_GB2312"/>
                <w:sz w:val="24"/>
                <w:color w:val="000000"/>
              </w:rPr>
              <w:t>检查吸附温度、脱附温度、采样流量、脱附</w:t>
            </w:r>
            <w:r>
              <w:rPr>
                <w:rFonts w:ascii="仿宋_GB2312" w:hAnsi="仿宋_GB2312" w:cs="仿宋_GB2312" w:eastAsia="仿宋_GB2312"/>
                <w:sz w:val="24"/>
                <w:color w:val="000000"/>
              </w:rPr>
              <w:t>/注射流量、采样与脱附时间设置是否与说明书、作业指导书或目标化合物测试记录一致。</w:t>
            </w:r>
          </w:p>
          <w:p>
            <w:pPr>
              <w:pStyle w:val="null3"/>
              <w:ind w:firstLine="480"/>
              <w:jc w:val="both"/>
            </w:pPr>
            <w:r>
              <w:rPr>
                <w:rFonts w:ascii="仿宋_GB2312" w:hAnsi="仿宋_GB2312" w:cs="仿宋_GB2312" w:eastAsia="仿宋_GB2312"/>
                <w:sz w:val="24"/>
                <w:color w:val="000000"/>
              </w:rPr>
              <w:t>②、富集/解析模块运行情况检查。</w:t>
            </w:r>
          </w:p>
          <w:p>
            <w:pPr>
              <w:pStyle w:val="null3"/>
              <w:ind w:firstLine="480"/>
              <w:jc w:val="both"/>
            </w:pPr>
            <w:r>
              <w:rPr>
                <w:rFonts w:ascii="仿宋_GB2312" w:hAnsi="仿宋_GB2312" w:cs="仿宋_GB2312" w:eastAsia="仿宋_GB2312"/>
                <w:sz w:val="24"/>
                <w:color w:val="000000"/>
              </w:rPr>
              <w:t>检查低温或超低温富集模块是否有异常结冰现象，如有异常，应停机清除结冰。检查吹扫流量或压力是否正常，如有堵塞，应及时检查吸附管或捕集柱。检查吸附和脱附程序是否正常，如有异常温度波动应及时排查避免影响吸附或脱附效率。检查注射程序是否正常，如注射压力、流量或者切换阀工作异常，应</w:t>
            </w:r>
            <w:r>
              <w:rPr>
                <w:rFonts w:ascii="仿宋_GB2312" w:hAnsi="仿宋_GB2312" w:cs="仿宋_GB2312" w:eastAsia="仿宋_GB2312"/>
                <w:sz w:val="24"/>
                <w:color w:val="000000"/>
              </w:rPr>
              <w:t>及时</w:t>
            </w:r>
            <w:r>
              <w:rPr>
                <w:rFonts w:ascii="仿宋_GB2312" w:hAnsi="仿宋_GB2312" w:cs="仿宋_GB2312" w:eastAsia="仿宋_GB2312"/>
                <w:sz w:val="24"/>
                <w:color w:val="000000"/>
              </w:rPr>
              <w:t>排查以免响应分析。</w:t>
            </w:r>
          </w:p>
          <w:p>
            <w:pPr>
              <w:pStyle w:val="null3"/>
              <w:ind w:firstLine="480"/>
              <w:jc w:val="both"/>
            </w:pPr>
            <w:r>
              <w:rPr>
                <w:rFonts w:ascii="仿宋_GB2312" w:hAnsi="仿宋_GB2312" w:cs="仿宋_GB2312" w:eastAsia="仿宋_GB2312"/>
                <w:sz w:val="24"/>
                <w:color w:val="000000"/>
              </w:rPr>
              <w:t>③、气相色谱、检测器参数设置检查。</w:t>
            </w:r>
          </w:p>
          <w:p>
            <w:pPr>
              <w:pStyle w:val="null3"/>
              <w:ind w:firstLine="480"/>
              <w:jc w:val="both"/>
            </w:pPr>
            <w:r>
              <w:rPr>
                <w:rFonts w:ascii="仿宋_GB2312" w:hAnsi="仿宋_GB2312" w:cs="仿宋_GB2312" w:eastAsia="仿宋_GB2312"/>
                <w:sz w:val="24"/>
                <w:color w:val="000000"/>
              </w:rPr>
              <w:t>检查火焰离子化检测器氢气与空气输入压力与流量、初始炉温、升温程序、降温程序、载气流量与压力、管线温度、</w:t>
            </w:r>
            <w:r>
              <w:rPr>
                <w:rFonts w:ascii="仿宋_GB2312" w:hAnsi="仿宋_GB2312" w:cs="仿宋_GB2312" w:eastAsia="仿宋_GB2312"/>
                <w:sz w:val="24"/>
                <w:color w:val="000000"/>
              </w:rPr>
              <w:t>EPC设置、质谱温度、EI能量等是否</w:t>
            </w:r>
          </w:p>
          <w:p>
            <w:pPr>
              <w:pStyle w:val="null3"/>
              <w:ind w:firstLine="480"/>
              <w:jc w:val="both"/>
            </w:pPr>
            <w:r>
              <w:rPr>
                <w:rFonts w:ascii="仿宋_GB2312" w:hAnsi="仿宋_GB2312" w:cs="仿宋_GB2312" w:eastAsia="仿宋_GB2312"/>
                <w:sz w:val="24"/>
                <w:color w:val="000000"/>
              </w:rPr>
              <w:t>与说明书、作业指导书或目标化合物测试记录一致。</w:t>
            </w:r>
          </w:p>
          <w:p>
            <w:pPr>
              <w:pStyle w:val="null3"/>
              <w:ind w:firstLine="480"/>
              <w:jc w:val="both"/>
            </w:pPr>
            <w:r>
              <w:rPr>
                <w:rFonts w:ascii="仿宋_GB2312" w:hAnsi="仿宋_GB2312" w:cs="仿宋_GB2312" w:eastAsia="仿宋_GB2312"/>
                <w:sz w:val="24"/>
                <w:color w:val="000000"/>
              </w:rPr>
              <w:t>④、气相色谱、检测器运行情况检查。</w:t>
            </w:r>
          </w:p>
          <w:p>
            <w:pPr>
              <w:pStyle w:val="null3"/>
              <w:ind w:firstLine="480"/>
              <w:jc w:val="both"/>
            </w:pPr>
            <w:r>
              <w:rPr>
                <w:rFonts w:ascii="仿宋_GB2312" w:hAnsi="仿宋_GB2312" w:cs="仿宋_GB2312" w:eastAsia="仿宋_GB2312"/>
                <w:sz w:val="24"/>
                <w:color w:val="000000"/>
              </w:rPr>
              <w:t>检查载气净化装置（含除烃、除氧、除水装置等），如有异常应及时更换。根据系统验收或目标化合物测试时使用的参数，检查色谱炉温控制程序、载气流量或压力控制程序、火焰离子化检测器或质谱检测器工作温度、质谱真空度等是否正常，如有异常应及时停机检查，排查问题。</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4）周数据审核及运维记录</w:t>
            </w:r>
          </w:p>
          <w:p>
            <w:pPr>
              <w:pStyle w:val="null3"/>
              <w:ind w:firstLine="480"/>
              <w:jc w:val="both"/>
            </w:pPr>
            <w:r>
              <w:rPr>
                <w:rFonts w:ascii="仿宋_GB2312" w:hAnsi="仿宋_GB2312" w:cs="仿宋_GB2312" w:eastAsia="仿宋_GB2312"/>
                <w:sz w:val="24"/>
                <w:color w:val="000000"/>
              </w:rPr>
              <w:t>周数据审核要求于每周一完成上一周监测数据逻辑性审核，并记录审核情况，每周三根据质控反馈情况复核上周数据，并于下午</w:t>
            </w:r>
            <w:r>
              <w:rPr>
                <w:rFonts w:ascii="仿宋_GB2312" w:hAnsi="仿宋_GB2312" w:cs="仿宋_GB2312" w:eastAsia="仿宋_GB2312"/>
                <w:sz w:val="24"/>
                <w:color w:val="000000"/>
              </w:rPr>
              <w:t>16:00前完成数据上报国家平台。按照规范要求编制周运维报告，要求真实可靠，于周三完成上周运维报告。</w:t>
            </w:r>
          </w:p>
          <w:p>
            <w:pPr>
              <w:pStyle w:val="null3"/>
              <w:ind w:firstLine="480"/>
              <w:jc w:val="both"/>
            </w:pPr>
            <w:r>
              <w:rPr>
                <w:rFonts w:ascii="仿宋_GB2312" w:hAnsi="仿宋_GB2312" w:cs="仿宋_GB2312" w:eastAsia="仿宋_GB2312"/>
                <w:sz w:val="24"/>
                <w:color w:val="000000"/>
              </w:rPr>
              <w:t>周运维频次间隔</w:t>
            </w:r>
            <w:r>
              <w:rPr>
                <w:rFonts w:ascii="仿宋_GB2312" w:hAnsi="仿宋_GB2312" w:cs="仿宋_GB2312" w:eastAsia="仿宋_GB2312"/>
                <w:sz w:val="24"/>
                <w:color w:val="000000"/>
              </w:rPr>
              <w:t>应在</w:t>
            </w:r>
            <w:r>
              <w:rPr>
                <w:rFonts w:ascii="仿宋_GB2312" w:hAnsi="仿宋_GB2312" w:cs="仿宋_GB2312" w:eastAsia="仿宋_GB2312"/>
                <w:sz w:val="24"/>
                <w:color w:val="000000"/>
              </w:rPr>
              <w:t>7±2</w:t>
            </w:r>
            <w:r>
              <w:rPr>
                <w:rFonts w:ascii="仿宋_GB2312" w:hAnsi="仿宋_GB2312" w:cs="仿宋_GB2312" w:eastAsia="仿宋_GB2312"/>
                <w:sz w:val="24"/>
                <w:color w:val="000000"/>
              </w:rPr>
              <w:t>个日历日。</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3.3.3 其他维护内容</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1）按照系统说明书或作业指导书要求定期更换吸附管或捕集柱、阀 膜、</w:t>
            </w:r>
          </w:p>
          <w:p>
            <w:pPr>
              <w:pStyle w:val="null3"/>
              <w:ind w:firstLine="480"/>
              <w:jc w:val="both"/>
            </w:pPr>
            <w:r>
              <w:rPr>
                <w:rFonts w:ascii="仿宋_GB2312" w:hAnsi="仿宋_GB2312" w:cs="仿宋_GB2312" w:eastAsia="仿宋_GB2312"/>
                <w:sz w:val="24"/>
                <w:color w:val="000000"/>
              </w:rPr>
              <w:t>色谱柱、质谱离子源等重要耗材。</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按照系统说明书或作业指导书要求做好周期性维护，及时清洁气动阀阀芯、散热风扇、火焰离子化检测器、质谱离子源等重要部件，并定期对质谱进行调谐，对检测器进行清理维护、维修、调谐后，应重新建立标准曲线。</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3）如运行维护涉及对气路上的关键硬件部分进行拆卸、打开，维护操作完成后，应按照系统说明书、作业指导书等要求对系统进行验漏。</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4）保持站房内部环境清洁，布置整齐，各仪器设备干净清洁，设备标识清楚；</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5）指派专人维护，设备固定牢固，门窗关闭良好，人走关门，非工作人员未经许可不得入内；</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6）每次维护后做好系统运行维护记录；</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7）进行维护时，应规范操作，注意安全，防止意外发生。</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8）发现站点附近有涉嫌人为干扰监测等行为，及时制止并上报采购方。</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3.4 质量控制要求</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3.4.1 每周质量控制内容</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1）零气空白检查（全系统空白）</w:t>
            </w:r>
          </w:p>
          <w:p>
            <w:pPr>
              <w:pStyle w:val="null3"/>
              <w:ind w:firstLine="480"/>
              <w:jc w:val="both"/>
            </w:pPr>
            <w:r>
              <w:rPr>
                <w:rFonts w:ascii="仿宋_GB2312" w:hAnsi="仿宋_GB2312" w:cs="仿宋_GB2312" w:eastAsia="仿宋_GB2312"/>
                <w:sz w:val="24"/>
                <w:color w:val="000000"/>
              </w:rPr>
              <w:t>检查频率不低于每周一次，在环境空气分析结束后进行一次全系统空白检查，记录各化合物浓度作为其日常残留。各化合物日常残留应低于方法检出限且低于</w:t>
            </w:r>
            <w:r>
              <w:rPr>
                <w:rFonts w:ascii="仿宋_GB2312" w:hAnsi="仿宋_GB2312" w:cs="仿宋_GB2312" w:eastAsia="仿宋_GB2312"/>
                <w:sz w:val="24"/>
                <w:color w:val="000000"/>
              </w:rPr>
              <w:t>0.1nmol/mol，零气空白检查不合格的化合物应对其进行标识。若超过20%的化合物或臭氧生成潜势较高的重点VOCs组分不合格，对系统进行检查，检查零气质量或清洗、更换系统管路，并重新做空白和曲线校准。。</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2）单点质控检查</w:t>
            </w:r>
          </w:p>
          <w:p>
            <w:pPr>
              <w:pStyle w:val="null3"/>
              <w:ind w:firstLine="480"/>
              <w:jc w:val="both"/>
            </w:pPr>
            <w:r>
              <w:rPr>
                <w:rFonts w:ascii="仿宋_GB2312" w:hAnsi="仿宋_GB2312" w:cs="仿宋_GB2312" w:eastAsia="仿宋_GB2312"/>
                <w:sz w:val="24"/>
                <w:color w:val="000000"/>
              </w:rPr>
              <w:t>检查频率不低于每周一次，在零气空白检查结束后通入一次单点标准气体，标准气体浓度选择日常平均浓度或标准曲线中间点浓度（推荐核查浓度</w:t>
            </w:r>
            <w:r>
              <w:rPr>
                <w:rFonts w:ascii="仿宋_GB2312" w:hAnsi="仿宋_GB2312" w:cs="仿宋_GB2312" w:eastAsia="仿宋_GB2312"/>
                <w:sz w:val="24"/>
                <w:color w:val="000000"/>
              </w:rPr>
              <w:t>≤2nmol/mol）。分析结束后，记录各化合物浓度并计算其与标准气体的相对误差，超过20%为不合格（质谱检测器放宽至 30%）。如超过 20%的化合物或臭氧生成潜势较高的重点VOCs（如苯系物等）不合格，则应检查系统，并重新绘制标准曲线。所有单点检查不合格目标化合物应对其进行明确标识，提醒相关单位慎重使用。</w:t>
            </w:r>
          </w:p>
          <w:p>
            <w:pPr>
              <w:pStyle w:val="null3"/>
              <w:ind w:firstLine="480"/>
              <w:jc w:val="both"/>
            </w:pPr>
            <w:r>
              <w:rPr>
                <w:rFonts w:ascii="仿宋_GB2312" w:hAnsi="仿宋_GB2312" w:cs="仿宋_GB2312" w:eastAsia="仿宋_GB2312"/>
                <w:sz w:val="24"/>
                <w:color w:val="000000"/>
              </w:rPr>
              <w:t>应根据单点检查谱图检查各化合物保留时间漂移与分离情况。若保留时间漂移影响积分，应重新设置积分窗口。</w:t>
            </w:r>
          </w:p>
          <w:p>
            <w:pPr>
              <w:pStyle w:val="null3"/>
              <w:ind w:firstLine="480"/>
              <w:jc w:val="both"/>
            </w:pPr>
            <w:r>
              <w:rPr>
                <w:rFonts w:ascii="仿宋_GB2312" w:hAnsi="仿宋_GB2312" w:cs="仿宋_GB2312" w:eastAsia="仿宋_GB2312"/>
                <w:sz w:val="24"/>
                <w:color w:val="000000"/>
              </w:rPr>
              <w:t>环戊烷和异戊烷、</w:t>
            </w:r>
            <w:r>
              <w:rPr>
                <w:rFonts w:ascii="仿宋_GB2312" w:hAnsi="仿宋_GB2312" w:cs="仿宋_GB2312" w:eastAsia="仿宋_GB2312"/>
                <w:sz w:val="24"/>
                <w:color w:val="000000"/>
              </w:rPr>
              <w:t>2,3-而甲基戊烷和2甲基己烷、邻二甲苯和苯乙烯的分离度≤1 时，或臭氧生成潜势较高的目标化合物（如苯系物等，间、对二甲苯除外）分离度≤1时，检查系统，重新设置色谱方法或者更换色谱柱等方法提高分离度，重新绘制标准曲线。</w:t>
            </w:r>
          </w:p>
          <w:p>
            <w:pPr>
              <w:pStyle w:val="null3"/>
              <w:ind w:firstLine="480"/>
              <w:jc w:val="both"/>
            </w:pPr>
            <w:r>
              <w:rPr>
                <w:rFonts w:ascii="仿宋_GB2312" w:hAnsi="仿宋_GB2312" w:cs="仿宋_GB2312" w:eastAsia="仿宋_GB2312"/>
                <w:sz w:val="24"/>
                <w:color w:val="000000"/>
              </w:rPr>
              <w:t>单点检查完成后，应进行至少</w:t>
            </w:r>
            <w:r>
              <w:rPr>
                <w:rFonts w:ascii="仿宋_GB2312" w:hAnsi="仿宋_GB2312" w:cs="仿宋_GB2312" w:eastAsia="仿宋_GB2312"/>
                <w:sz w:val="24"/>
                <w:color w:val="000000"/>
              </w:rPr>
              <w:t>1次系统空白检查，清洗系统残留。若长期单点检查后的系统空白检查表明各目标化合物残留均低于检出限，可省去清洗环节。</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3）周质控记录及频次</w:t>
            </w:r>
          </w:p>
          <w:p>
            <w:pPr>
              <w:pStyle w:val="null3"/>
              <w:ind w:firstLine="480"/>
              <w:jc w:val="both"/>
            </w:pPr>
            <w:r>
              <w:rPr>
                <w:rFonts w:ascii="仿宋_GB2312" w:hAnsi="仿宋_GB2312" w:cs="仿宋_GB2312" w:eastAsia="仿宋_GB2312"/>
                <w:sz w:val="24"/>
                <w:color w:val="000000"/>
              </w:rPr>
              <w:t>按照规范要求编制周质控报告，要求真实可靠，于周三完成上周质控报告。周质控频次间隔应在</w:t>
            </w:r>
            <w:r>
              <w:rPr>
                <w:rFonts w:ascii="仿宋_GB2312" w:hAnsi="仿宋_GB2312" w:cs="仿宋_GB2312" w:eastAsia="仿宋_GB2312"/>
                <w:sz w:val="24"/>
                <w:color w:val="000000"/>
              </w:rPr>
              <w:t>7±2个日历日。</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3.4.2 每月质量控制内容</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1）采样流量检查</w:t>
            </w:r>
          </w:p>
          <w:p>
            <w:pPr>
              <w:pStyle w:val="null3"/>
              <w:ind w:firstLine="480"/>
              <w:jc w:val="both"/>
            </w:pPr>
            <w:r>
              <w:rPr>
                <w:rFonts w:ascii="仿宋_GB2312" w:hAnsi="仿宋_GB2312" w:cs="仿宋_GB2312" w:eastAsia="仿宋_GB2312"/>
                <w:sz w:val="24"/>
                <w:color w:val="000000"/>
              </w:rPr>
              <w:t>不低于每月一次的采样流量检查，或在绘制标准曲线前应使用在计量认证有效期内的标准流量计对采样流量进行检查。标准流量计接入位置建议在系统的样品气进气口处。如系统不采用流量控制器或厂家说明书、作业指导书有明确的流量或采样体积检查操作的，流量或采样体积检查按既有要求进行。采样流量示值与标准流量计示值的相对偏差应</w:t>
            </w:r>
            <w:r>
              <w:rPr>
                <w:rFonts w:ascii="仿宋_GB2312" w:hAnsi="仿宋_GB2312" w:cs="仿宋_GB2312" w:eastAsia="仿宋_GB2312"/>
                <w:sz w:val="24"/>
                <w:color w:val="000000"/>
              </w:rPr>
              <w:t>≤±5%（如采样流量为标况流量，标准流量计标况状态应与采样流量计一致；如采样流量为工况流量，标准流量计也应为工况流量）。相对偏差超出±5%时应进行检查或校准，同时对期间监测数据进行复核，不合格的数据应进行数据异常标识。</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2）月度质控记录及频次</w:t>
            </w:r>
          </w:p>
          <w:p>
            <w:pPr>
              <w:pStyle w:val="null3"/>
              <w:ind w:firstLine="480"/>
              <w:jc w:val="both"/>
            </w:pPr>
            <w:r>
              <w:rPr>
                <w:rFonts w:ascii="仿宋_GB2312" w:hAnsi="仿宋_GB2312" w:cs="仿宋_GB2312" w:eastAsia="仿宋_GB2312"/>
                <w:sz w:val="24"/>
                <w:color w:val="000000"/>
              </w:rPr>
              <w:t>按照规范要求编制月度质控报告，要求真实可靠，于次月</w:t>
            </w:r>
            <w:r>
              <w:rPr>
                <w:rFonts w:ascii="仿宋_GB2312" w:hAnsi="仿宋_GB2312" w:cs="仿宋_GB2312" w:eastAsia="仿宋_GB2312"/>
                <w:sz w:val="24"/>
                <w:color w:val="000000"/>
              </w:rPr>
              <w:t>10日前完成上月度质控报告。月度质控频次间隔不少于20个日历日。</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3.4.3 每季度质量控制内容</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1）标准曲线绘制</w:t>
            </w:r>
          </w:p>
          <w:p>
            <w:pPr>
              <w:pStyle w:val="null3"/>
              <w:ind w:firstLine="480"/>
              <w:jc w:val="both"/>
            </w:pPr>
            <w:r>
              <w:rPr>
                <w:rFonts w:ascii="仿宋_GB2312" w:hAnsi="仿宋_GB2312" w:cs="仿宋_GB2312" w:eastAsia="仿宋_GB2312"/>
                <w:sz w:val="24"/>
                <w:color w:val="000000"/>
              </w:rPr>
              <w:t>绘制标准曲线前，进行零气空白检查（全系统空白），空白合格时进行标准曲线绘制。标准曲线至少每三个月重新绘制一次，并且至少包含</w:t>
            </w:r>
            <w:r>
              <w:rPr>
                <w:rFonts w:ascii="仿宋_GB2312" w:hAnsi="仿宋_GB2312" w:cs="仿宋_GB2312" w:eastAsia="仿宋_GB2312"/>
                <w:sz w:val="24"/>
                <w:color w:val="000000"/>
              </w:rPr>
              <w:t>5个浓度点。关键部位维修维护或更换（如进行检测器的清洗、质谱调谐）后，需重新绘制标准曲线。</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2）验漏检查</w:t>
            </w:r>
          </w:p>
          <w:p>
            <w:pPr>
              <w:pStyle w:val="null3"/>
              <w:ind w:firstLine="480"/>
              <w:jc w:val="both"/>
            </w:pPr>
            <w:r>
              <w:rPr>
                <w:rFonts w:ascii="仿宋_GB2312" w:hAnsi="仿宋_GB2312" w:cs="仿宋_GB2312" w:eastAsia="仿宋_GB2312"/>
                <w:sz w:val="24"/>
                <w:color w:val="000000"/>
              </w:rPr>
              <w:t>每周系统状态检查时核查系统气密性，每三个月应按系统说明书的要求进行验漏检查。验漏应尽可能覆盖采样、富集</w:t>
            </w:r>
            <w:r>
              <w:rPr>
                <w:rFonts w:ascii="仿宋_GB2312" w:hAnsi="仿宋_GB2312" w:cs="仿宋_GB2312" w:eastAsia="仿宋_GB2312"/>
                <w:sz w:val="24"/>
                <w:color w:val="000000"/>
              </w:rPr>
              <w:t>/注射模块、气相色谱和检测器等全部环节。</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3）温度、压力传感器检查</w:t>
            </w:r>
          </w:p>
          <w:p>
            <w:pPr>
              <w:pStyle w:val="null3"/>
              <w:ind w:firstLine="480"/>
              <w:jc w:val="both"/>
            </w:pPr>
            <w:r>
              <w:rPr>
                <w:rFonts w:ascii="仿宋_GB2312" w:hAnsi="仿宋_GB2312" w:cs="仿宋_GB2312" w:eastAsia="仿宋_GB2312"/>
                <w:sz w:val="24"/>
                <w:color w:val="000000"/>
              </w:rPr>
              <w:t>应根据厂家提供的作业指导书或说明书的要求定期对富集模块、气相色谱和检测器的温度、压力传感器进行检查。</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4）季度质控记录及频次</w:t>
            </w:r>
          </w:p>
          <w:p>
            <w:pPr>
              <w:pStyle w:val="null3"/>
              <w:ind w:firstLine="480"/>
              <w:jc w:val="both"/>
            </w:pPr>
            <w:r>
              <w:rPr>
                <w:rFonts w:ascii="仿宋_GB2312" w:hAnsi="仿宋_GB2312" w:cs="仿宋_GB2312" w:eastAsia="仿宋_GB2312"/>
                <w:sz w:val="24"/>
                <w:color w:val="000000"/>
              </w:rPr>
              <w:t>按照规范要求编制季度质控报告，要求真实可靠，于季度次月</w:t>
            </w:r>
            <w:r>
              <w:rPr>
                <w:rFonts w:ascii="仿宋_GB2312" w:hAnsi="仿宋_GB2312" w:cs="仿宋_GB2312" w:eastAsia="仿宋_GB2312"/>
                <w:sz w:val="24"/>
                <w:color w:val="000000"/>
              </w:rPr>
              <w:t>10日前完成上季度质控报告。季度质控频次间隔不少于20个日历日。</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3.4.4 运维期质量控制内容</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预防性维护</w:t>
            </w:r>
          </w:p>
          <w:p>
            <w:pPr>
              <w:pStyle w:val="null3"/>
              <w:ind w:firstLine="480"/>
              <w:jc w:val="both"/>
            </w:pPr>
            <w:r>
              <w:rPr>
                <w:rFonts w:ascii="仿宋_GB2312" w:hAnsi="仿宋_GB2312" w:cs="仿宋_GB2312" w:eastAsia="仿宋_GB2312"/>
                <w:sz w:val="24"/>
                <w:color w:val="000000"/>
              </w:rPr>
              <w:t>根据采购方需求对系统、辅助设备、校准或配气设备等开展预防性维护，对关键零部件进行拆卸清洁和保养，必要时进行更换。维护时间为运维到期前一个月，具体时间由采购方确定。</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目标化合物测试</w:t>
            </w:r>
          </w:p>
          <w:p>
            <w:pPr>
              <w:pStyle w:val="null3"/>
              <w:ind w:firstLine="480"/>
              <w:jc w:val="both"/>
            </w:pPr>
            <w:r>
              <w:rPr>
                <w:rFonts w:ascii="仿宋_GB2312" w:hAnsi="仿宋_GB2312" w:cs="仿宋_GB2312" w:eastAsia="仿宋_GB2312"/>
                <w:sz w:val="24"/>
                <w:color w:val="000000"/>
              </w:rPr>
              <w:t>每年进行一次目标化合物测试，确定系统能够长期连续准确定性、定量</w:t>
            </w:r>
            <w:r>
              <w:rPr>
                <w:rFonts w:ascii="仿宋_GB2312" w:hAnsi="仿宋_GB2312" w:cs="仿宋_GB2312" w:eastAsia="仿宋_GB2312"/>
                <w:sz w:val="24"/>
                <w:color w:val="000000"/>
              </w:rPr>
              <w:t>VOCs组分，形成该站点的目标化合物名录。站点根据历史数据确定当地臭氧生成潜势较高的前10名组分，作为必测组分列入化合物名录中。目标化合物名录测试考核指标主要包括空白检查、标准曲线、方法检出限和测定下限、分离度、期间精密度和准确度等，测试结果不得低于《国家环境空气监测网环境空气挥发性有机物连续自动监测质量控制技术规定</w:t>
            </w:r>
            <w:r>
              <w:rPr>
                <w:rFonts w:ascii="仿宋_GB2312" w:hAnsi="仿宋_GB2312" w:cs="仿宋_GB2312" w:eastAsia="仿宋_GB2312"/>
                <w:sz w:val="24"/>
                <w:color w:val="000000"/>
              </w:rPr>
              <w:t>（</w:t>
            </w:r>
            <w:r>
              <w:rPr>
                <w:rFonts w:ascii="仿宋_GB2312" w:hAnsi="仿宋_GB2312" w:cs="仿宋_GB2312" w:eastAsia="仿宋_GB2312"/>
                <w:sz w:val="24"/>
                <w:color w:val="000000"/>
              </w:rPr>
              <w:t>试行</w:t>
            </w:r>
            <w:r>
              <w:rPr>
                <w:rFonts w:ascii="仿宋_GB2312" w:hAnsi="仿宋_GB2312" w:cs="仿宋_GB2312" w:eastAsia="仿宋_GB2312"/>
                <w:sz w:val="24"/>
                <w:color w:val="000000"/>
              </w:rPr>
              <w:t>）</w:t>
            </w:r>
            <w:r>
              <w:rPr>
                <w:rFonts w:ascii="仿宋_GB2312" w:hAnsi="仿宋_GB2312" w:cs="仿宋_GB2312" w:eastAsia="仿宋_GB2312"/>
                <w:sz w:val="24"/>
                <w:color w:val="000000"/>
              </w:rPr>
              <w:t>》相关要求。测试时间为运维到期前一个月，具体时间由采购方确定。</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3）服务器质控记录</w:t>
            </w:r>
          </w:p>
          <w:p>
            <w:pPr>
              <w:pStyle w:val="null3"/>
              <w:ind w:firstLine="480"/>
              <w:jc w:val="both"/>
            </w:pPr>
            <w:r>
              <w:rPr>
                <w:rFonts w:ascii="仿宋_GB2312" w:hAnsi="仿宋_GB2312" w:cs="仿宋_GB2312" w:eastAsia="仿宋_GB2312"/>
                <w:sz w:val="24"/>
                <w:color w:val="000000"/>
              </w:rPr>
              <w:t>运维服务期满后，按照规范要求编制服务期质控报告，要求真实可靠。</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3.5 量值溯源</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3.5.1 标准气体</w:t>
            </w:r>
          </w:p>
          <w:p>
            <w:pPr>
              <w:pStyle w:val="null3"/>
              <w:ind w:firstLine="480"/>
              <w:jc w:val="both"/>
            </w:pPr>
            <w:r>
              <w:rPr>
                <w:rFonts w:ascii="仿宋_GB2312" w:hAnsi="仿宋_GB2312" w:cs="仿宋_GB2312" w:eastAsia="仿宋_GB2312"/>
                <w:sz w:val="24"/>
                <w:color w:val="000000"/>
              </w:rPr>
              <w:t>使用可溯源性的标准气体对系统进行校准，国产标准气体推荐使用国家标准物质（</w:t>
            </w:r>
            <w:r>
              <w:rPr>
                <w:rFonts w:ascii="仿宋_GB2312" w:hAnsi="仿宋_GB2312" w:cs="仿宋_GB2312" w:eastAsia="仿宋_GB2312"/>
                <w:sz w:val="24"/>
                <w:color w:val="000000"/>
              </w:rPr>
              <w:t>GBW和GBW-E）、国家标准样品（GSB），进口标准气体应能溯源至国际权威的计量机构（如NIST等）。如标准气体经稀释后储存在不锈钢罐（内壁经惰性化处理）中使用，不锈钢罐存储时间不应超过20天（如所配标准气体含有TO-15或含氧VOCs，推荐各单位对稀释后的标准气体进行稳定性测试以确定稀释后标气储存时间）。储存标气的不锈钢罐应专罐专用，不能用于环境空气或工业园区污染源废气采样，使用前按相关说明书要求清洗，推荐进行加热、加湿清洗。同一批次不锈钢罐清洗完成后，参考HJ-759中关于实验室空白的要求，按每批次不小于10%抽查要求（不足1个时按1个算），对不锈钢罐进空白测试。空白测试结果各目标化合物浓度应低于其在目标化合物测试阶段测试得到的检出限，配气前应进行不锈钢罐气密性检查。</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3.5.2 稀释装置</w:t>
            </w:r>
          </w:p>
          <w:p>
            <w:pPr>
              <w:pStyle w:val="null3"/>
              <w:ind w:firstLine="480"/>
              <w:jc w:val="both"/>
            </w:pPr>
            <w:r>
              <w:rPr>
                <w:rFonts w:ascii="仿宋_GB2312" w:hAnsi="仿宋_GB2312" w:cs="仿宋_GB2312" w:eastAsia="仿宋_GB2312"/>
                <w:sz w:val="24"/>
                <w:color w:val="000000"/>
              </w:rPr>
              <w:t>使用压力比进行稀释的装置应按照各厂家说明书的要求定期使用在计量认证有效期内的标准气压计对压力进行核查。使用流量比进行动态稀释的装置可使用在计量认证有效期内的</w:t>
            </w:r>
            <w:r>
              <w:rPr>
                <w:rFonts w:ascii="仿宋_GB2312" w:hAnsi="仿宋_GB2312" w:cs="仿宋_GB2312" w:eastAsia="仿宋_GB2312"/>
                <w:sz w:val="24"/>
                <w:color w:val="000000"/>
              </w:rPr>
              <w:t>标准流量计对其内部各流量计或流量控制装置进行流量传递，流量传</w:t>
            </w:r>
            <w:r>
              <w:rPr>
                <w:rFonts w:ascii="仿宋_GB2312" w:hAnsi="仿宋_GB2312" w:cs="仿宋_GB2312" w:eastAsia="仿宋_GB2312"/>
                <w:sz w:val="24"/>
                <w:color w:val="000000"/>
              </w:rPr>
              <w:t>递应注意流量计的输出状态，使用标准压力和和标准温度计换算成同</w:t>
            </w:r>
            <w:r>
              <w:rPr>
                <w:rFonts w:ascii="仿宋_GB2312" w:hAnsi="仿宋_GB2312" w:cs="仿宋_GB2312" w:eastAsia="仿宋_GB2312"/>
                <w:sz w:val="24"/>
                <w:color w:val="000000"/>
              </w:rPr>
              <w:t>等状态进行核查和校准。上述核查或传递至少每季度执行一次，并建立相关的质控表格进</w:t>
            </w:r>
            <w:r>
              <w:rPr>
                <w:rFonts w:ascii="仿宋_GB2312" w:hAnsi="仿宋_GB2312" w:cs="仿宋_GB2312" w:eastAsia="仿宋_GB2312"/>
                <w:sz w:val="24"/>
                <w:color w:val="000000"/>
              </w:rPr>
              <w:t>行跟踪。</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3.5.3 标准流量计</w:t>
            </w:r>
          </w:p>
          <w:p>
            <w:pPr>
              <w:pStyle w:val="null3"/>
              <w:ind w:firstLine="480"/>
              <w:jc w:val="both"/>
            </w:pPr>
            <w:r>
              <w:rPr>
                <w:rFonts w:ascii="仿宋_GB2312" w:hAnsi="仿宋_GB2312" w:cs="仿宋_GB2312" w:eastAsia="仿宋_GB2312"/>
                <w:sz w:val="24"/>
                <w:color w:val="000000"/>
              </w:rPr>
              <w:t>根据采样流量范围或动态稀释流量范围选择合适的流量计，流</w:t>
            </w:r>
            <w:r>
              <w:rPr>
                <w:rFonts w:ascii="仿宋_GB2312" w:hAnsi="仿宋_GB2312" w:cs="仿宋_GB2312" w:eastAsia="仿宋_GB2312"/>
                <w:sz w:val="24"/>
                <w:color w:val="000000"/>
              </w:rPr>
              <w:t>量计每年应采用计量检定、计量校准等形式进行量值溯源，进行溯源的气体流量点应在其日常应用的流量范围内。流量计示值与标准流量值的相对误差应</w:t>
            </w:r>
            <w:r>
              <w:rPr>
                <w:rFonts w:ascii="仿宋_GB2312" w:hAnsi="仿宋_GB2312" w:cs="仿宋_GB2312" w:eastAsia="仿宋_GB2312"/>
                <w:sz w:val="24"/>
                <w:color w:val="000000"/>
              </w:rPr>
              <w:t>&lt;±1%，如超过±1%，应对其示值进行修正。</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3.6 数据审核和处理</w:t>
            </w:r>
          </w:p>
          <w:p>
            <w:pPr>
              <w:pStyle w:val="null3"/>
              <w:ind w:firstLine="480"/>
              <w:jc w:val="both"/>
            </w:pPr>
            <w:r>
              <w:rPr>
                <w:rFonts w:ascii="仿宋_GB2312" w:hAnsi="仿宋_GB2312" w:cs="仿宋_GB2312" w:eastAsia="仿宋_GB2312"/>
                <w:sz w:val="24"/>
                <w:color w:val="000000"/>
              </w:rPr>
              <w:t>对自动监测数据进行实时监控，保证数据和运维记录的真实性。按照《国家大气光化学监测网自动监测数据审核技术指南（</w:t>
            </w:r>
            <w:r>
              <w:rPr>
                <w:rFonts w:ascii="仿宋_GB2312" w:hAnsi="仿宋_GB2312" w:cs="仿宋_GB2312" w:eastAsia="仿宋_GB2312"/>
                <w:sz w:val="24"/>
                <w:color w:val="000000"/>
              </w:rPr>
              <w:t>2021 版）（试行）》</w:t>
            </w:r>
            <w:r>
              <w:rPr>
                <w:rFonts w:ascii="仿宋_GB2312" w:hAnsi="仿宋_GB2312" w:cs="仿宋_GB2312" w:eastAsia="仿宋_GB2312"/>
                <w:sz w:val="24"/>
                <w:color w:val="000000"/>
              </w:rPr>
              <w:t>和空气质量自动监测站点运维的相关</w:t>
            </w:r>
            <w:r>
              <w:rPr>
                <w:rFonts w:ascii="仿宋_GB2312" w:hAnsi="仿宋_GB2312" w:cs="仿宋_GB2312" w:eastAsia="仿宋_GB2312"/>
                <w:sz w:val="24"/>
                <w:color w:val="000000"/>
              </w:rPr>
              <w:t>要求，建立监测数据三级审核制度，按日和周进行审核。对于传输等原因导致的数据缺失或上报不及时，应及时进行补录并向采购方报备留档。</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3.6.1 无效数据剔除</w:t>
            </w:r>
          </w:p>
          <w:p>
            <w:pPr>
              <w:pStyle w:val="null3"/>
              <w:ind w:firstLine="480"/>
              <w:jc w:val="both"/>
            </w:pPr>
            <w:r>
              <w:rPr>
                <w:rFonts w:ascii="仿宋_GB2312" w:hAnsi="仿宋_GB2312" w:cs="仿宋_GB2312" w:eastAsia="仿宋_GB2312"/>
                <w:sz w:val="24"/>
                <w:color w:val="000000"/>
              </w:rPr>
              <w:t>日常运行及数据上报过程中应依据系统运行状况、色谱</w:t>
            </w:r>
            <w:r>
              <w:rPr>
                <w:rFonts w:ascii="仿宋_GB2312" w:hAnsi="仿宋_GB2312" w:cs="仿宋_GB2312" w:eastAsia="仿宋_GB2312"/>
                <w:sz w:val="24"/>
                <w:color w:val="000000"/>
              </w:rPr>
              <w:t>/质谱图、质控结果等识别系统运行过程中产生的无效或异常数据，并在数 据库中对无效或异常情况进行分类标识，剔除异常数据。</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3.6.2 数据重积分及补录</w:t>
            </w:r>
          </w:p>
          <w:p>
            <w:pPr>
              <w:pStyle w:val="null3"/>
              <w:ind w:firstLine="480"/>
              <w:jc w:val="both"/>
            </w:pPr>
            <w:r>
              <w:rPr>
                <w:rFonts w:ascii="仿宋_GB2312" w:hAnsi="仿宋_GB2312" w:cs="仿宋_GB2312" w:eastAsia="仿宋_GB2312"/>
                <w:sz w:val="24"/>
                <w:color w:val="000000"/>
              </w:rPr>
              <w:t>系统受气象因素变化和系统本身因素导致的整体性峰漂，或其他</w:t>
            </w:r>
            <w:r>
              <w:rPr>
                <w:rFonts w:ascii="仿宋_GB2312" w:hAnsi="仿宋_GB2312" w:cs="仿宋_GB2312" w:eastAsia="仿宋_GB2312"/>
                <w:sz w:val="24"/>
                <w:color w:val="000000"/>
              </w:rPr>
              <w:t>特殊情况导致自动积分有误时，及时进行重积分后补录数据。</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3.6.3 数据补遗</w:t>
            </w:r>
          </w:p>
          <w:p>
            <w:pPr>
              <w:pStyle w:val="null3"/>
              <w:ind w:firstLine="480"/>
              <w:jc w:val="both"/>
            </w:pPr>
            <w:r>
              <w:rPr>
                <w:rFonts w:ascii="仿宋_GB2312" w:hAnsi="仿宋_GB2312" w:cs="仿宋_GB2312" w:eastAsia="仿宋_GB2312"/>
                <w:sz w:val="24"/>
                <w:color w:val="000000"/>
              </w:rPr>
              <w:t>监测数据因通讯等连接问题导致上位端平台数据缺失时，应对缺失时段数据进行补遗。</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3.7 运维记录</w:t>
            </w:r>
          </w:p>
          <w:p>
            <w:pPr>
              <w:pStyle w:val="null3"/>
              <w:ind w:firstLine="480"/>
              <w:jc w:val="both"/>
            </w:pPr>
            <w:r>
              <w:rPr>
                <w:rFonts w:ascii="仿宋_GB2312" w:hAnsi="仿宋_GB2312" w:cs="仿宋_GB2312" w:eastAsia="仿宋_GB2312"/>
                <w:sz w:val="24"/>
                <w:color w:val="000000"/>
              </w:rPr>
              <w:t>将站</w:t>
            </w:r>
            <w:r>
              <w:rPr>
                <w:rFonts w:ascii="仿宋_GB2312" w:hAnsi="仿宋_GB2312" w:cs="仿宋_GB2312" w:eastAsia="仿宋_GB2312"/>
                <w:sz w:val="24"/>
                <w:color w:val="000000"/>
              </w:rPr>
              <w:t>点</w:t>
            </w:r>
            <w:r>
              <w:rPr>
                <w:rFonts w:ascii="仿宋_GB2312" w:hAnsi="仿宋_GB2312" w:cs="仿宋_GB2312" w:eastAsia="仿宋_GB2312"/>
                <w:sz w:val="24"/>
                <w:color w:val="000000"/>
              </w:rPr>
              <w:t>的运行维护过程和事件进行详细记录，并进行归档管理。日常运维中使用的相关记录表格应当参考使用《国家大气光化学监测网自动监测数据审核技术指南</w:t>
            </w:r>
            <w:r>
              <w:rPr>
                <w:rFonts w:ascii="仿宋_GB2312" w:hAnsi="仿宋_GB2312" w:cs="仿宋_GB2312" w:eastAsia="仿宋_GB2312"/>
                <w:sz w:val="24"/>
                <w:color w:val="000000"/>
              </w:rPr>
              <w:t>（</w:t>
            </w:r>
            <w:r>
              <w:rPr>
                <w:rFonts w:ascii="仿宋_GB2312" w:hAnsi="仿宋_GB2312" w:cs="仿宋_GB2312" w:eastAsia="仿宋_GB2312"/>
                <w:sz w:val="24"/>
                <w:color w:val="000000"/>
              </w:rPr>
              <w:t>2021版</w:t>
            </w:r>
            <w:r>
              <w:rPr>
                <w:rFonts w:ascii="仿宋_GB2312" w:hAnsi="仿宋_GB2312" w:cs="仿宋_GB2312" w:eastAsia="仿宋_GB2312"/>
                <w:sz w:val="24"/>
                <w:color w:val="000000"/>
              </w:rPr>
              <w:t>）</w:t>
            </w:r>
            <w:r>
              <w:rPr>
                <w:rFonts w:ascii="仿宋_GB2312" w:hAnsi="仿宋_GB2312" w:cs="仿宋_GB2312" w:eastAsia="仿宋_GB2312"/>
                <w:sz w:val="24"/>
                <w:color w:val="000000"/>
              </w:rPr>
              <w:t>（试行）》</w:t>
            </w:r>
            <w:r>
              <w:rPr>
                <w:rFonts w:ascii="仿宋_GB2312" w:hAnsi="仿宋_GB2312" w:cs="仿宋_GB2312" w:eastAsia="仿宋_GB2312"/>
                <w:sz w:val="24"/>
                <w:color w:val="000000"/>
              </w:rPr>
              <w:t>、《环境空气气态污染物（</w:t>
            </w:r>
            <w:r>
              <w:rPr>
                <w:rFonts w:ascii="仿宋_GB2312" w:hAnsi="仿宋_GB2312" w:cs="仿宋_GB2312" w:eastAsia="仿宋_GB2312"/>
                <w:sz w:val="24"/>
                <w:color w:val="000000"/>
              </w:rPr>
              <w:t>SO</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NO</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O</w:t>
            </w:r>
            <w:r>
              <w:rPr>
                <w:rFonts w:ascii="仿宋_GB2312" w:hAnsi="仿宋_GB2312" w:cs="仿宋_GB2312" w:eastAsia="仿宋_GB2312"/>
                <w:sz w:val="24"/>
                <w:color w:val="000000"/>
                <w:vertAlign w:val="subscript"/>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CO）连续自动监测系统运行和质控技术规范（HJ818-2018）》、《环境空气颗粒物（PM</w:t>
            </w:r>
            <w:r>
              <w:rPr>
                <w:rFonts w:ascii="仿宋_GB2312" w:hAnsi="仿宋_GB2312" w:cs="仿宋_GB2312" w:eastAsia="仿宋_GB2312"/>
                <w:sz w:val="24"/>
                <w:color w:val="000000"/>
                <w:vertAlign w:val="subscript"/>
              </w:rPr>
              <w:t>10</w:t>
            </w:r>
            <w:r>
              <w:rPr>
                <w:rFonts w:ascii="仿宋_GB2312" w:hAnsi="仿宋_GB2312" w:cs="仿宋_GB2312" w:eastAsia="仿宋_GB2312"/>
                <w:sz w:val="24"/>
                <w:color w:val="000000"/>
              </w:rPr>
              <w:t>和</w:t>
            </w:r>
            <w:r>
              <w:rPr>
                <w:rFonts w:ascii="仿宋_GB2312" w:hAnsi="仿宋_GB2312" w:cs="仿宋_GB2312" w:eastAsia="仿宋_GB2312"/>
                <w:sz w:val="24"/>
                <w:color w:val="000000"/>
              </w:rPr>
              <w:t>PM</w:t>
            </w:r>
            <w:r>
              <w:rPr>
                <w:rFonts w:ascii="仿宋_GB2312" w:hAnsi="仿宋_GB2312" w:cs="仿宋_GB2312" w:eastAsia="仿宋_GB2312"/>
                <w:sz w:val="24"/>
                <w:color w:val="000000"/>
                <w:vertAlign w:val="subscript"/>
              </w:rPr>
              <w:t>2.5</w:t>
            </w:r>
            <w:r>
              <w:rPr>
                <w:rFonts w:ascii="仿宋_GB2312" w:hAnsi="仿宋_GB2312" w:cs="仿宋_GB2312" w:eastAsia="仿宋_GB2312"/>
                <w:sz w:val="24"/>
                <w:color w:val="000000"/>
              </w:rPr>
              <w:t>）连续自动监测系统运行和质控技术规范</w:t>
            </w:r>
            <w:r>
              <w:rPr>
                <w:rFonts w:ascii="仿宋_GB2312" w:hAnsi="仿宋_GB2312" w:cs="仿宋_GB2312" w:eastAsia="仿宋_GB2312"/>
                <w:sz w:val="24"/>
                <w:color w:val="000000"/>
              </w:rPr>
              <w:t>(HJ817-2018)》等标准规范</w:t>
            </w:r>
            <w:r>
              <w:rPr>
                <w:rFonts w:ascii="仿宋_GB2312" w:hAnsi="仿宋_GB2312" w:cs="仿宋_GB2312" w:eastAsia="仿宋_GB2312"/>
                <w:sz w:val="24"/>
                <w:color w:val="000000"/>
              </w:rPr>
              <w:t>附件表单。</w:t>
            </w:r>
          </w:p>
          <w:p>
            <w:pPr>
              <w:pStyle w:val="null3"/>
              <w:ind w:firstLine="480"/>
              <w:jc w:val="both"/>
            </w:pPr>
            <w:r>
              <w:rPr>
                <w:rFonts w:ascii="仿宋_GB2312" w:hAnsi="仿宋_GB2312" w:cs="仿宋_GB2312" w:eastAsia="仿宋_GB2312"/>
                <w:sz w:val="24"/>
                <w:color w:val="000000"/>
              </w:rPr>
              <w:t>日常运维中使用运行管理相关记录至少应包括但不限于下列内容：</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1）自动监测站房系统检查记录；</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2）自动监测系统状态检查记录；</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监测仪器设备</w:t>
            </w:r>
            <w:r>
              <w:rPr>
                <w:rFonts w:ascii="仿宋_GB2312" w:hAnsi="仿宋_GB2312" w:cs="仿宋_GB2312" w:eastAsia="仿宋_GB2312"/>
                <w:sz w:val="24"/>
                <w:color w:val="000000"/>
              </w:rPr>
              <w:t>巡查记录表</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4）零气空白（全系统空白）-单点检查记录表；</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）标准曲线校准记录表；</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）流量监测记录表；</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7）挥发性有机物自动监测系统检出限质控记录表；</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8）稳定性检查记录表；</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9）挥发性有机物自动监测系统内标记录表；</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10）系统维保记录表；</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11）仪器资料保管清单；</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12）备品备件管理记录表；</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3</w:t>
            </w:r>
            <w:r>
              <w:rPr>
                <w:rFonts w:ascii="仿宋_GB2312" w:hAnsi="仿宋_GB2312" w:cs="仿宋_GB2312" w:eastAsia="仿宋_GB2312"/>
                <w:sz w:val="24"/>
                <w:color w:val="000000"/>
              </w:rPr>
              <w:t>）主要消耗材料使用登记表。</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3.8 提交成果</w:t>
            </w:r>
          </w:p>
          <w:p>
            <w:pPr>
              <w:pStyle w:val="null3"/>
              <w:ind w:firstLine="480"/>
              <w:jc w:val="both"/>
            </w:pPr>
            <w:r>
              <w:rPr>
                <w:rFonts w:ascii="仿宋_GB2312" w:hAnsi="仿宋_GB2312" w:cs="仿宋_GB2312" w:eastAsia="仿宋_GB2312"/>
                <w:sz w:val="24"/>
                <w:color w:val="000000"/>
              </w:rPr>
              <w:t>运维服务结束后，中标方应提供如下文档成果。</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3.8.1 运维情况分析报告</w:t>
            </w:r>
          </w:p>
          <w:p>
            <w:pPr>
              <w:pStyle w:val="null3"/>
              <w:ind w:firstLine="480"/>
              <w:jc w:val="both"/>
            </w:pPr>
            <w:r>
              <w:rPr>
                <w:rFonts w:ascii="仿宋_GB2312" w:hAnsi="仿宋_GB2312" w:cs="仿宋_GB2312" w:eastAsia="仿宋_GB2312"/>
                <w:sz w:val="24"/>
                <w:color w:val="000000"/>
              </w:rPr>
              <w:t>中标方在运维期满后</w:t>
            </w:r>
            <w:r>
              <w:rPr>
                <w:rFonts w:ascii="仿宋_GB2312" w:hAnsi="仿宋_GB2312" w:cs="仿宋_GB2312" w:eastAsia="仿宋_GB2312"/>
                <w:sz w:val="24"/>
                <w:color w:val="000000"/>
              </w:rPr>
              <w:t>1个月内提供完整运维服务情况分析报告，报告内容至少包括每日运维质控记录、周运维质控记录、日常运维中其他运行管理相关记录、仪器故障维修报告和站点运维总结，以及可能潜在的问题及后期运维建议。</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3.8.2 数据分析报告</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1）月报：</w:t>
            </w:r>
            <w:r>
              <w:rPr>
                <w:rFonts w:ascii="仿宋_GB2312" w:hAnsi="仿宋_GB2312" w:cs="仿宋_GB2312" w:eastAsia="仿宋_GB2312"/>
                <w:sz w:val="24"/>
                <w:color w:val="000000"/>
              </w:rPr>
              <w:t>中标方在运维期满后</w:t>
            </w:r>
            <w:r>
              <w:rPr>
                <w:rFonts w:ascii="仿宋_GB2312" w:hAnsi="仿宋_GB2312" w:cs="仿宋_GB2312" w:eastAsia="仿宋_GB2312"/>
                <w:sz w:val="24"/>
                <w:color w:val="000000"/>
              </w:rPr>
              <w:t>1个月内，根据所运维的站点监测数据编制数据分析报告，报告内容至少包含</w:t>
            </w:r>
            <w:r>
              <w:rPr>
                <w:rFonts w:ascii="仿宋_GB2312" w:hAnsi="仿宋_GB2312" w:cs="仿宋_GB2312" w:eastAsia="仿宋_GB2312"/>
                <w:sz w:val="24"/>
                <w:color w:val="000000"/>
              </w:rPr>
              <w:t>污染物浓度</w:t>
            </w:r>
            <w:r>
              <w:rPr>
                <w:rFonts w:ascii="仿宋_GB2312" w:hAnsi="仿宋_GB2312" w:cs="仿宋_GB2312" w:eastAsia="仿宋_GB2312"/>
                <w:sz w:val="24"/>
                <w:color w:val="000000"/>
              </w:rPr>
              <w:t>时空特征、影响因素、臭氧生成潜势分析</w:t>
            </w:r>
            <w:r>
              <w:rPr>
                <w:rFonts w:ascii="仿宋_GB2312" w:hAnsi="仿宋_GB2312" w:cs="仿宋_GB2312" w:eastAsia="仿宋_GB2312"/>
                <w:sz w:val="24"/>
                <w:color w:val="000000"/>
              </w:rPr>
              <w:t>、</w:t>
            </w:r>
            <w:r>
              <w:rPr>
                <w:rFonts w:ascii="仿宋_GB2312" w:hAnsi="仿宋_GB2312" w:cs="仿宋_GB2312" w:eastAsia="仿宋_GB2312"/>
                <w:sz w:val="24"/>
                <w:color w:val="000000"/>
              </w:rPr>
              <w:t>本地关键组分清单</w:t>
            </w:r>
            <w:r>
              <w:rPr>
                <w:rFonts w:ascii="仿宋_GB2312" w:hAnsi="仿宋_GB2312" w:cs="仿宋_GB2312" w:eastAsia="仿宋_GB2312"/>
                <w:sz w:val="24"/>
                <w:color w:val="000000"/>
              </w:rPr>
              <w:t>、对策建议</w:t>
            </w:r>
            <w:r>
              <w:rPr>
                <w:rFonts w:ascii="仿宋_GB2312" w:hAnsi="仿宋_GB2312" w:cs="仿宋_GB2312" w:eastAsia="仿宋_GB2312"/>
                <w:sz w:val="24"/>
                <w:color w:val="000000"/>
              </w:rPr>
              <w:t>等。</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2）年报：按照《西安市生态环境监测方案》中工业园区专项监测的要求，提供年度监测数据分析报告及工作总结报告。</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3）其他：按实际情况提供重点时段或者高污染天气过程分析报告。</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详见服务要求，按采购人要求进行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详见服务要求，按采购人要求进行</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详见服务要求，按采购人要求进行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完成所有监测任务验收合格后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请中标供应商在领取中标通知书时，向招标代理机构递交纸质投标文件正本壹份、副本贰份，电子文件贰份（纸质文件与线上评审电子文件保持一致）。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w:t>
            </w:r>
          </w:p>
        </w:tc>
        <w:tc>
          <w:tcPr>
            <w:tcW w:type="dxa" w:w="3322"/>
          </w:tcPr>
          <w:p>
            <w:pPr>
              <w:pStyle w:val="null3"/>
            </w:pPr>
            <w:r>
              <w:rPr>
                <w:rFonts w:ascii="仿宋_GB2312" w:hAnsi="仿宋_GB2312" w:cs="仿宋_GB2312" w:eastAsia="仿宋_GB2312"/>
              </w:rPr>
              <w:t>投标人需提供有效合格的具有统一社会信用代码的营业执照，其他组织经营的须提供合法凭证，自然人提供身份证明文件。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法定代表人参加投标的，须提供本人身份证加盖公章的复印件；法定代表人授权他人参加投标的，须提供法定代表人授权委托书及被授权代表的身份证复印件。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四表一注”，即资产负债表、利润表、现金流量表、所有者权益变动表及其附注）；成立时间至提交投标文件截止时间不足一年的可提供成立后任意时段的资产负债表或投标截止时间前三个月内基本存款账户开户银行出具的资信证明文件及基本存款账户开户许可证（无基本存款账户开户许可证可提供其基本存款账户信息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提供供应商2024年1月1日以来任意三个月已缴纳的社会保障资金缴存单据或社保机构开具的社会保险参保缴费情况证明；依法不需要缴纳社会保障资金的供应商应提供加盖公章的相关证明文件。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提供供应商2024年1月1日以来任意三个月已缴纳的纳税证明或完税证明（至少包含增值税或企业所得税），依法免税的供应商应提供加盖公章的相关证明文件。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履行合同能力的证明材料</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书面信用声明</w:t>
            </w:r>
          </w:p>
        </w:tc>
        <w:tc>
          <w:tcPr>
            <w:tcW w:type="dxa" w:w="3322"/>
          </w:tcPr>
          <w:p>
            <w:pPr>
              <w:pStyle w:val="null3"/>
            </w:pPr>
            <w:r>
              <w:rPr>
                <w:rFonts w:ascii="仿宋_GB2312" w:hAnsi="仿宋_GB2312" w:cs="仿宋_GB2312" w:eastAsia="仿宋_GB2312"/>
              </w:rPr>
              <w:t>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单位负责人为同一人或者存在直接控股、管理关系的不同供应商，不得参加本次采购活动。</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应符合招标文件中签字、签章要求，且无遗漏</w:t>
            </w:r>
          </w:p>
        </w:tc>
        <w:tc>
          <w:tcPr>
            <w:tcW w:type="dxa" w:w="1661"/>
          </w:tcPr>
          <w:p>
            <w:pPr>
              <w:pStyle w:val="null3"/>
            </w:pPr>
            <w:r>
              <w:rPr>
                <w:rFonts w:ascii="仿宋_GB2312" w:hAnsi="仿宋_GB2312" w:cs="仿宋_GB2312" w:eastAsia="仿宋_GB2312"/>
              </w:rPr>
              <w:t>技术条款偏离表.docx 分项报价表.docx 投标函 中小企业声明函 残疾人福利性单位声明函 标的清单 投标文件封面 商务条款偏离表.docx 资格证明文件.docx 服务方案.docx 监狱企业的证明文件 投标供应商基本情况表.docx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投标文件的组成、语言、计量单位</w:t>
            </w:r>
          </w:p>
        </w:tc>
        <w:tc>
          <w:tcPr>
            <w:tcW w:type="dxa" w:w="3322"/>
          </w:tcPr>
          <w:p>
            <w:pPr>
              <w:pStyle w:val="null3"/>
            </w:pPr>
            <w:r>
              <w:rPr>
                <w:rFonts w:ascii="仿宋_GB2312" w:hAnsi="仿宋_GB2312" w:cs="仿宋_GB2312" w:eastAsia="仿宋_GB2312"/>
              </w:rPr>
              <w:t>应符合“投标文件格式”和招标文件要求</w:t>
            </w:r>
          </w:p>
        </w:tc>
        <w:tc>
          <w:tcPr>
            <w:tcW w:type="dxa" w:w="1661"/>
          </w:tcPr>
          <w:p>
            <w:pPr>
              <w:pStyle w:val="null3"/>
            </w:pPr>
            <w:r>
              <w:rPr>
                <w:rFonts w:ascii="仿宋_GB2312" w:hAnsi="仿宋_GB2312" w:cs="仿宋_GB2312" w:eastAsia="仿宋_GB2312"/>
              </w:rPr>
              <w:t>技术条款偏离表.docx 分项报价表.docx 投标函 中小企业声明函 残疾人福利性单位声明函 标的清单 投标文件封面 商务条款偏离表.docx 资格证明文件.docx 服务方案.docx 监狱企业的证明文件 投标供应商基本情况表.docx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 （2）报价符合唯一性要求 （3）未超出采购预算或最高限价 （4）符合《开标一览表》的填报要求</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技术（服务）条款</w:t>
            </w:r>
          </w:p>
        </w:tc>
        <w:tc>
          <w:tcPr>
            <w:tcW w:type="dxa" w:w="3322"/>
          </w:tcPr>
          <w:p>
            <w:pPr>
              <w:pStyle w:val="null3"/>
            </w:pPr>
            <w:r>
              <w:rPr>
                <w:rFonts w:ascii="仿宋_GB2312" w:hAnsi="仿宋_GB2312" w:cs="仿宋_GB2312" w:eastAsia="仿宋_GB2312"/>
              </w:rPr>
              <w:t>完全理解并响应招标文件要求的各项技术（服务），且未含有采购人不能接受的附加条件的。</w:t>
            </w:r>
          </w:p>
        </w:tc>
        <w:tc>
          <w:tcPr>
            <w:tcW w:type="dxa" w:w="1661"/>
          </w:tcPr>
          <w:p>
            <w:pPr>
              <w:pStyle w:val="null3"/>
            </w:pPr>
            <w:r>
              <w:rPr>
                <w:rFonts w:ascii="仿宋_GB2312" w:hAnsi="仿宋_GB2312" w:cs="仿宋_GB2312" w:eastAsia="仿宋_GB2312"/>
              </w:rPr>
              <w:t>技术条款偏离表.docx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商务条款（如服务期限、付款方式、投标有效期等）</w:t>
            </w:r>
          </w:p>
        </w:tc>
        <w:tc>
          <w:tcPr>
            <w:tcW w:type="dxa" w:w="3322"/>
          </w:tcPr>
          <w:p>
            <w:pPr>
              <w:pStyle w:val="null3"/>
            </w:pPr>
            <w:r>
              <w:rPr>
                <w:rFonts w:ascii="仿宋_GB2312" w:hAnsi="仿宋_GB2312" w:cs="仿宋_GB2312" w:eastAsia="仿宋_GB2312"/>
              </w:rPr>
              <w:t>完全理解并响应招标文件商务条款的要求，且未含有采购人不能接受的附加条件的。</w:t>
            </w:r>
          </w:p>
        </w:tc>
        <w:tc>
          <w:tcPr>
            <w:tcW w:type="dxa" w:w="1661"/>
          </w:tcPr>
          <w:p>
            <w:pPr>
              <w:pStyle w:val="null3"/>
            </w:pPr>
            <w:r>
              <w:rPr>
                <w:rFonts w:ascii="仿宋_GB2312" w:hAnsi="仿宋_GB2312" w:cs="仿宋_GB2312" w:eastAsia="仿宋_GB2312"/>
              </w:rPr>
              <w:t>商务条款偏离表.docx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总体方案（9分）</w:t>
            </w:r>
          </w:p>
        </w:tc>
        <w:tc>
          <w:tcPr>
            <w:tcW w:type="dxa" w:w="2492"/>
          </w:tcPr>
          <w:p>
            <w:pPr>
              <w:pStyle w:val="null3"/>
            </w:pPr>
            <w:r>
              <w:rPr>
                <w:rFonts w:ascii="仿宋_GB2312" w:hAnsi="仿宋_GB2312" w:cs="仿宋_GB2312" w:eastAsia="仿宋_GB2312"/>
              </w:rPr>
              <w:t>一、评审内容 提出针对本项目的总体方案，内容包括： ①运维服务分析及目标 ②运维服务工作范围及计划安排 ③重难点分析及解决措施 二、评审标准 1、完整性：方案须全面，对评审内容中的各项要求有详细描述及 说明； 2、可实施性：切合本项目实际情况，实施步骤清晰、合理； 3、针对性：方案能够紧扣项目实际情况，内容科学合理。 三、赋分标准（满分9分） ①运维服务分析及目标：每完全满足一项评审标准得1分，存在瑕疵得0.5分，满分3 分； ②运维服务范围及计划安排：每完全满足一项评审标准得1分，存在瑕疵得0.5分，满分3 分； ③重难点分析及解决措施：每完全满足一项评审标准得1分，存在瑕疵得0.5分，满分3 分。 瑕疵是指存在不完全满足评分标准，但项目仍可实施。</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运维服务方案（18分）</w:t>
            </w:r>
          </w:p>
        </w:tc>
        <w:tc>
          <w:tcPr>
            <w:tcW w:type="dxa" w:w="2492"/>
          </w:tcPr>
          <w:p>
            <w:pPr>
              <w:pStyle w:val="null3"/>
            </w:pPr>
            <w:r>
              <w:rPr>
                <w:rFonts w:ascii="仿宋_GB2312" w:hAnsi="仿宋_GB2312" w:cs="仿宋_GB2312" w:eastAsia="仿宋_GB2312"/>
              </w:rPr>
              <w:t>一、评审内容 提出针对本项目的调查服务方案，内容包括： ①运维管理制度 ②维护、巡检的内容、措施和标准 ③故障监测与维修以及站点的维护和文化建设 二、评审标准 1、完整性：方案须全面，对评审内容中的各项要求有详细描述及 说明； 2、可实施性：切合本项目实际情况，实施步骤清晰、合理； 3、针对性：方案能够紧扣项目实际情况，内容科学合理。 三、赋分标准（满分18分） ①运维管理制度：每完全满足一项评审标准得2分，存在瑕疵得1分，满分6分； ②维护、巡检的内容、措施和标准：每完全满足一项评审标准得2分，存在瑕疵得1分，满分6分； ③故障监测与维修以及站点的维护和文化建设：每完全满足一项评审标准得2分，存在瑕疵得1分，满分6分。 瑕疵是指存在不完全满足评分标准，但项目仍可实施。</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数据审核（6分）</w:t>
            </w:r>
          </w:p>
        </w:tc>
        <w:tc>
          <w:tcPr>
            <w:tcW w:type="dxa" w:w="2492"/>
          </w:tcPr>
          <w:p>
            <w:pPr>
              <w:pStyle w:val="null3"/>
            </w:pPr>
            <w:r>
              <w:rPr>
                <w:rFonts w:ascii="仿宋_GB2312" w:hAnsi="仿宋_GB2312" w:cs="仿宋_GB2312" w:eastAsia="仿宋_GB2312"/>
              </w:rPr>
              <w:t>一、评审内容 供应商针对本项目提供数据审核方案，方案包含： ①对空气质量监控相关规范、政策和标准的理解及运用 ②纠错措施及分析报告的编制 二、评审标准 1、完整性：方案须全面，对评审内容中的各项要求有详细描述及 说明； 2、可实施性：切合本项目实际情况，实施步骤清晰、合理； 3、针对性：方案能够紧扣项目实际情况，内容科学合理。 三、赋分标准（满分6分） ①对空气质量监控相关规范、政策和标准的理解：每完全满足一项评审标准得1分，存在瑕疵得0.5分，满分3分； ②纠错措施及分析报告的编制：每完全满足一项评审标准得1分，存在瑕疵得0.5分，满分3分。 瑕疵是指存在不完全满足评分标准，但项目仍可实施。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项目保障方案（6分）</w:t>
            </w:r>
          </w:p>
        </w:tc>
        <w:tc>
          <w:tcPr>
            <w:tcW w:type="dxa" w:w="2492"/>
          </w:tcPr>
          <w:p>
            <w:pPr>
              <w:pStyle w:val="null3"/>
            </w:pPr>
            <w:r>
              <w:rPr>
                <w:rFonts w:ascii="仿宋_GB2312" w:hAnsi="仿宋_GB2312" w:cs="仿宋_GB2312" w:eastAsia="仿宋_GB2312"/>
              </w:rPr>
              <w:t>一、评审内容 供应商针对本项目技术要求并结合个站点设备实际情况，提供项目保障方案，方案包含： ①质量保障措施 ②安全保障措施 二、评审标准 1、完整性：方案须全面，对评审内容中的各项要求有详细描述及 说明； 2、可实施性：切合本项目实际情况，实施步骤清晰、合理； 3、针对性：方案能够紧扣项目实际情况，内容科学合理。 三、赋分标准（满分6分） ①质量保障措施：每完全满足一项评审标准得1分，存在瑕疵得0.5分，满分3分； ②安全保障措施：每完全满足一项评审标准得1分，存在瑕疵得0.5分，满分3分。 瑕疵是指存在不完全满足评分标准，但项目仍可实施。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交接方案（6分）</w:t>
            </w:r>
          </w:p>
        </w:tc>
        <w:tc>
          <w:tcPr>
            <w:tcW w:type="dxa" w:w="2492"/>
          </w:tcPr>
          <w:p>
            <w:pPr>
              <w:pStyle w:val="null3"/>
            </w:pPr>
            <w:r>
              <w:rPr>
                <w:rFonts w:ascii="仿宋_GB2312" w:hAnsi="仿宋_GB2312" w:cs="仿宋_GB2312" w:eastAsia="仿宋_GB2312"/>
              </w:rPr>
              <w:t>一、评审内容 针对本项目提出项目交接方案，方案包含： ①接收方案 ②交接方案 二、评审标准 1、完整性：方案须全面，对评审内容中的各项要求有详细描述及 说明； 2、可实施性：切合本项目实际情况，实施步骤清晰、合理； 3、针对性：方案能够紧扣项目实际情况，内容科学合理。 三、赋分标准（满分6分） ①接收方案：每完全满足一项评审标准得1分，存在瑕疵得0.5分，满分3分； ②交接方案：每完全满足一项评审标准得1分，存在瑕疵得0.5分，满分3分。 瑕疵是指存在不完全满足评分标准，但项目仍可实施。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应急预案（6分）</w:t>
            </w:r>
          </w:p>
        </w:tc>
        <w:tc>
          <w:tcPr>
            <w:tcW w:type="dxa" w:w="2492"/>
          </w:tcPr>
          <w:p>
            <w:pPr>
              <w:pStyle w:val="null3"/>
            </w:pPr>
            <w:r>
              <w:rPr>
                <w:rFonts w:ascii="仿宋_GB2312" w:hAnsi="仿宋_GB2312" w:cs="仿宋_GB2312" w:eastAsia="仿宋_GB2312"/>
              </w:rPr>
              <w:t>一、评审内容 针对本项目提出项目应急预案，方案包含： ①应急保障措施 ②重大数据质量预防及处置办法 二、评审标准 1、完整性：方案须全面，对评审内容中的各项要求有详细描述及 说明； 2、可实施性：切合本项目实际情况，实施步骤清晰、合理； 3、针对性：方案能够紧扣项目实际情况，内容科学合理。 三、赋分标准（满分6分） ①应急保障措施：每完全满足一项评审标准得1分，存在瑕疵得0.5分，满分3分； ②重大数据质量预防及处置办法：每完全满足一项评审标准得1分，存在瑕疵得0.5分，满分3分。 瑕疵是指存在不完全满足评分标准，但项目仍可实施。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备机（6分）</w:t>
            </w:r>
          </w:p>
        </w:tc>
        <w:tc>
          <w:tcPr>
            <w:tcW w:type="dxa" w:w="2492"/>
          </w:tcPr>
          <w:p>
            <w:pPr>
              <w:pStyle w:val="null3"/>
            </w:pPr>
            <w:r>
              <w:rPr>
                <w:rFonts w:ascii="仿宋_GB2312" w:hAnsi="仿宋_GB2312" w:cs="仿宋_GB2312" w:eastAsia="仿宋_GB2312"/>
              </w:rPr>
              <w:t>投标人需为本项目配备必要的备机，包括至少一套在线气相色谱-飞行时间质谱（GC/TOF）挥发性有机物监测系统、在线气相色谱-质谱联用（GC/MS）挥发性有机物监测系统、在线PAMS挥发性有机物监测系统，每满足一项的2分，满分6分。 注：①需提供配置清单（包括但不限于设备品名、品牌、 型号、数量、用途等）。②投标人为设备制造商的需提供库存设备清单加盖公章；非制造商的提供需提供购置发票或采购合同或供货协议或租赁协议复印件。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运维耗材及专用仪器维修、通讯调试工具（3分）</w:t>
            </w:r>
          </w:p>
        </w:tc>
        <w:tc>
          <w:tcPr>
            <w:tcW w:type="dxa" w:w="2492"/>
          </w:tcPr>
          <w:p>
            <w:pPr>
              <w:pStyle w:val="null3"/>
            </w:pPr>
            <w:r>
              <w:rPr>
                <w:rFonts w:ascii="仿宋_GB2312" w:hAnsi="仿宋_GB2312" w:cs="仿宋_GB2312" w:eastAsia="仿宋_GB2312"/>
              </w:rPr>
              <w:t>一、评审内容 根据投标人提供的耗材、备件（按照不少于半年的消耗量配置，备件按照至少1年使用量配置）、专用仪器维修工 具（包括便携式电脑、万用表、远程数据查询系统等）、通讯调试工具（包括各种硬件接口线、改线工具、接口调试软件及常用零部件等）。 二、评审标准 1、完整性：方案须全面，对评审内容中的各项要求有详细描述及 说明； 2、可实施性：切合本项目实际情况，实施步骤清晰、合理； 3、针对性：方案能够紧扣项目实际情况，内容科学合理。 三、赋分标准（满分3分） 每完全满足一项评审标准得1分，存在瑕疵得0.5分，满分3分。 注：需提供耗材、备件清单。</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认证体系（6分）</w:t>
            </w:r>
          </w:p>
        </w:tc>
        <w:tc>
          <w:tcPr>
            <w:tcW w:type="dxa" w:w="2492"/>
          </w:tcPr>
          <w:p>
            <w:pPr>
              <w:pStyle w:val="null3"/>
            </w:pPr>
            <w:r>
              <w:rPr>
                <w:rFonts w:ascii="仿宋_GB2312" w:hAnsi="仿宋_GB2312" w:cs="仿宋_GB2312" w:eastAsia="仿宋_GB2312"/>
              </w:rPr>
              <w:t>投标人具有ISO9001质量管理体系认证、ISO14001环境管理体系认证、ISO45001职业健康安全管理体系认证、信息管理安全体系认证、IT服务管理体系认证、培训管理系统，并且在认证有效期内，提供一个得1分，最多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供应商承诺（1分）</w:t>
            </w:r>
          </w:p>
        </w:tc>
        <w:tc>
          <w:tcPr>
            <w:tcW w:type="dxa" w:w="2492"/>
          </w:tcPr>
          <w:p>
            <w:pPr>
              <w:pStyle w:val="null3"/>
            </w:pPr>
            <w:r>
              <w:rPr>
                <w:rFonts w:ascii="仿宋_GB2312" w:hAnsi="仿宋_GB2312" w:cs="仿宋_GB2312" w:eastAsia="仿宋_GB2312"/>
              </w:rPr>
              <w:t>1、承诺中标后1个月内配齐质控所需仪器设备、耗材和备件并报采购人备案，得0.5分。无承诺不得分。 2、承诺在本项目开始履约和合同期满时，保证VOCs站内的所有仪器设备符合相关技术规范中系统正常运行要求，完整接收VOCs站，完整将VOCs站交接给下一家运维服务单位，得0.5分。无承诺不得分。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运维车辆（3分）</w:t>
            </w:r>
          </w:p>
        </w:tc>
        <w:tc>
          <w:tcPr>
            <w:tcW w:type="dxa" w:w="2492"/>
          </w:tcPr>
          <w:p>
            <w:pPr>
              <w:pStyle w:val="null3"/>
            </w:pPr>
            <w:r>
              <w:rPr>
                <w:rFonts w:ascii="仿宋_GB2312" w:hAnsi="仿宋_GB2312" w:cs="仿宋_GB2312" w:eastAsia="仿宋_GB2312"/>
              </w:rPr>
              <w:t>投标人提供运维保障车辆3辆及以上的得3分，不足三辆不得分。 注：需提供车辆行驶证复印件，属于租赁的还须提供租赁协议复印件。未按要求提供的车辆不予认定。</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项目负责人（3分）</w:t>
            </w:r>
          </w:p>
        </w:tc>
        <w:tc>
          <w:tcPr>
            <w:tcW w:type="dxa" w:w="2492"/>
          </w:tcPr>
          <w:p>
            <w:pPr>
              <w:pStyle w:val="null3"/>
            </w:pPr>
            <w:r>
              <w:rPr>
                <w:rFonts w:ascii="仿宋_GB2312" w:hAnsi="仿宋_GB2312" w:cs="仿宋_GB2312" w:eastAsia="仿宋_GB2312"/>
              </w:rPr>
              <w:t>具有环保类专业高级职称或者具有环境类专业博士学位的，得3分 注：需提供身份证、职称证复印件或学历证书复印件，投标截止时间前三个月内本单位为其缴纳社保的证明。</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运维人员（5分）</w:t>
            </w:r>
          </w:p>
        </w:tc>
        <w:tc>
          <w:tcPr>
            <w:tcW w:type="dxa" w:w="2492"/>
          </w:tcPr>
          <w:p>
            <w:pPr>
              <w:pStyle w:val="null3"/>
            </w:pPr>
            <w:r>
              <w:rPr>
                <w:rFonts w:ascii="仿宋_GB2312" w:hAnsi="仿宋_GB2312" w:cs="仿宋_GB2312" w:eastAsia="仿宋_GB2312"/>
              </w:rPr>
              <w:t>拟派运维专业技术人员具备有效期内的中国环境总站颁发的环境空气挥发性有机物监测技术培训考核合格证5人及以上的（项目负责人除外）计5分，具备有效合格证人员不足5人的不得分。 注：需①提供技术人员有效期内的环境空气挥发性有机物监测技术培训考核合格证考核合格证，且合格证中的单位应与投标人一致，否则不予认定。②提供身份证、复印件，投标截止时间前三个月内本单位为其缴纳社保的证明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驻场售后人员（2分）</w:t>
            </w:r>
          </w:p>
        </w:tc>
        <w:tc>
          <w:tcPr>
            <w:tcW w:type="dxa" w:w="2492"/>
          </w:tcPr>
          <w:p>
            <w:pPr>
              <w:pStyle w:val="null3"/>
            </w:pPr>
            <w:r>
              <w:rPr>
                <w:rFonts w:ascii="仿宋_GB2312" w:hAnsi="仿宋_GB2312" w:cs="仿宋_GB2312" w:eastAsia="仿宋_GB2312"/>
              </w:rPr>
              <w:t>驻场售后维修人员：至少1名驻场售后维修人员具备有硕士研究生及以上学历，得2分。 注：需提供身份证、学历证书复印件，投标截止时间前三个月内本单位为其缴纳社保的证明。</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业绩（10分）</w:t>
            </w:r>
          </w:p>
        </w:tc>
        <w:tc>
          <w:tcPr>
            <w:tcW w:type="dxa" w:w="2492"/>
          </w:tcPr>
          <w:p>
            <w:pPr>
              <w:pStyle w:val="null3"/>
            </w:pPr>
            <w:r>
              <w:rPr>
                <w:rFonts w:ascii="仿宋_GB2312" w:hAnsi="仿宋_GB2312" w:cs="仿宋_GB2312" w:eastAsia="仿宋_GB2312"/>
              </w:rPr>
              <w:t>投标人具有2022年1月1日至今（以合同签订日期为准）类似项目业绩，每提供一个得2分，本项最高得10分。 备注：须同时提供完整合同或中标或中标（成交）通知书，并加盖供应商公章，否则不得分。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满足招标文件内容及技术要求且投标价格最低的投标价为评标基准价，其价格分为满分。 投标报价得分=（评标基准价／投标报价）×10 符合招标文件规定的小微企业、监狱企业、残疾人福利性单位优惠条件的投标供应商，价格给予10%的扣除，用扣除后的价格参与评审。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详见附件：投标供应商基本情况表.docx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详见附件：技术条款偏离表.docx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