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版本号：SXWZ2025ZB-JLY-085A20250716001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2025年标准物质、试剂采购(二次）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SXWZ2025ZB-JLY-085A</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2025年标准物质、试剂采购(二次）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SXWZ2025ZB-JLY-085A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2025年标准物质、试剂采购(二次）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2025年标准物质、试剂采购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社会保障资金缴纳证明：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4、税收缴纳证明：提供2025年01月至今已缴纳的至少一个月的纳税证明或完税证明；依法免税的单位应提供相关证明材料。（以税收所属时期为准）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7、非联合体声明：本项目不接受联合体投标（格式自拟）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西安计量技术研究院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张航波 张刘艳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029-88319689转8006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说明：合同签订之后五个工作日，供应商按采购人指定账户交纳合同价款的5%作为履约保证金。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改革委员会办公厅颁发的《关于招标代理服务收费有关问题的通知》（发改办价格[2003]857号）文件规定执行。招标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联系电话：029-88319689-8006/8007</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我院对计量器具的检定校准能力，满足计量检定规程要求，补足我院计量标准，适应西安市量值传递溯源及经济社会高质量发展的需要，提升服务西安市及周边地区经济社会发展的能力，为实施计量监督提供公正作用，取得良好的社会效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标准物质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标的名称：标准物质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详见附件中Pdf版（确认版）标准物质、试剂采购技术参数.pdf</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交货时间按采购人要求采取分批次供货，采购人提出供货需求后，供应商在30个日历日内完成供货。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①标准物质按照采购人要求，采取分批次供货。当采购人提出供货需求后，供应商在30个日历日内完成供货，同时提供供货清单和发票，采购人组织相关人员完成验收后，按照供应商提供的当次供货清单和发票金额完成支付。 ②供应商按采购人的供货要求和方式，完成全部供货、提供剩余全部供货清单和发票后，并最终全部验收合格后，采购人向供应商支付剩余货款；采购人按照供应商履约情况，将履约保证金无息退还供应商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（1）外观检查： 检查外包装是否完好无损，避免因运输过程中的破损、泄露、污染等因素影响标准物质的稳定性。 核实包装上是否有明确的警示标签、储存条件和注意事项等。 （2）信息一致性： 对照合同，确认到货的标准物质名称、型号、规格、等级、数量等技术参数及基本信息是否一致。 查看标准物质证书，确认其与实物标签上的信息完全吻合，包括但不限于：生产厂家信息、生产日期或有效期、浓度、纯度等关键特性参数、稳定性声明、不确定度、溯源性等信息，以及核实证书的有效性和认可机构。 （3）认证文件审查： 采购人核查随货提供的标准物质证书、溯源证书、使用说明书等技术文档的完整性。确保所有文件均为原件或经供应商官方验证的副本，且清晰可读，无涂改痕迹。 供应商提供的计量标准溯源证书必须真实、有效，并承担因证书不实引发的一切法律责任。 （4）特殊要求验证： 若采购时有特定的存储条件（如温度、湿度、避光等）或特殊运输要求，应检查供应商是否已按约定执行，并记录运输过程的温湿度监控数据（如干冰、冷链运输时的温度记录）。对于易挥发、易潮解、易变质的标准物质，应检查其密封性及防潮措施是否到位。 （5）样品抽样： 根据标准物质特性和实验室规定，可能需要进行开箱抽样检查。抽样时应遵循无菌操作或防止交叉污染的原则。对抽样样品进行初步观察，确认其性状（颜色、气味、形态等）与证书描述相符，无明显异常。 （6）紧急情况处理： 如发现包装破损、泄露、变质等可能导致标准物质失效的情况，供应商应及时进行退换货处理。如发现证书信息错误、缺失或无法验证其有效性，供应商应按要求提供正确文件。 完成验收步骤后，采购人或验收人员应详细记录验收结果及任何异常情况以便存档查看。 若发现供应商弄虚作假，在招投标阶段故意或随意夸大所投产品技术参数、产品性能，或以国产产品冒充进口产品或提供贴牌产品的，供应商应无条件退货，采购方有权单方解除本合同，供应商赔偿采购人所有的损失。同时，采购人有权将供应商违法违规情况向西安市政府采购监督部门通报，并由其依法进行处理。 （7）履约验收标准： ①合同文本； ②投标文件及澄清函、招标文件； ③国家和行业、企业制定的相应标准和规范；（若有国家标准、国家计量技术规范，以国家发布的为准，若无国家标准、国家计量技术规范可参考行业、企业制定的相应标准和规范（上述所列规范标准如有更新，以最新规范标准执行）； ④产品清单（注明品名、数量、规格和原产地或生产厂家，包括部件）。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（1）运输：运杂费一次包死在总价内，包括并不限于生产厂到施工现场所需的装卸、运输（含保险费）、现场保管费、二次倒运费、吊装费等费用。 （2）供应商负责标准物质、试剂、气瓶等的运输及回收，以及安全阀门检验、气瓶管路安装等内容，必须符合国家对运输、回收等的相关要求，由此产生的所有费用及责任均由供应商承担。 （3）包装：产品包装应采取防潮、防晒、防腐蚀、防震动及防止其他损坏的必要措施。供应商应承担由于其包装或防护措施不妥而引起的货物锈蚀、损坏和丢失等任何损失造成的责任或费用。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（1）质保期：不小于证书有效期。 ①有效期：所有产品到货时证书剩余有效期不得少于产品有效期的三分之二。 ②证书有效期内出现质量问题，供应商应按采购人的要求免费更换，响应时间≤2小时，产生的所有费用均由供应商承担。 ③若问题在24小时内无法排除时，供应商必须向采购人提供书面报告，包括问题原因及分析、处理措施、解决时间。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根据采购人、招标文件要求及合同约定执行。 ①如因供应商责任而造成延期交货，采购人可在合同未付款中直接扣除延期交货的违约金，每延期交货一天按合同总价款的1%向采购人支付违约金，该违约金由采购人在应支付货款中直接扣除，供应商对此无任何异议。 ②如验收不合格，且供应商在规定的整改期内仍达不到验收标准的，视为供应商延期交货，采购人可在合同未付款中直接扣除延期交货违约金，每延期一天按合同总价款的1%扣除；同时，供应商应向采购人重新更换和投标文件一致的同生产厂家、同品牌、同型号、同规格的全新产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1、本采购包核心产品为：正十六烷-异辛烷 2.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3、供应商需要在线提交所有通过电子化交易平台实施的政府采购项目的投标文件，同时，中标供应商须在发布中标公告后线下提交投标文件正本壹份、副本贰份。 线下提交投标文件地点：西安市高新区唐延路旺座现代城 C 座 25 楼 2502室 ；联系电话：029-88319689转8006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02供应商资格证明资料.docx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报告须带有二维码可验证），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本项目不接受联合体投标（格式自拟）</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 《三部门联合发布关于促进残疾人就业政府采购政策的通知》（财库〔2017〕141号）。 8、 《陕西省中小企业政府采购信用融资办法》（陕财办采〔2018〕23号）。 9、其他最新的政府采购政策。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01分项报价表.docx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响应文件签字、盖章、装订是否满足招标文件要求。</w:t>
            </w:r>
          </w:p>
        </w:tc>
        <w:tc>
          <w:tcPr>
            <w:tcW w:type="dxa" w:w="1661"/>
          </w:tcPr>
          <w:p>
            <w:pPr>
              <w:pStyle w:val="null3"/>
            </w:pPr>
            <w:r>
              <w:rPr>
                <w:rFonts w:ascii="仿宋_GB2312" w:hAnsi="仿宋_GB2312" w:cs="仿宋_GB2312" w:eastAsia="仿宋_GB2312"/>
              </w:rPr>
              <w:t>投标函 中小企业声明函 02供应商资格证明资料.docx 10.供应商业绩一览表.docx 标的清单 投标文件封面 3.商务和服务响应偏离表.docx 4.技术指标参数与供货渠道.docx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投标函 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11.供应商承诺书.docx 10.供应商业绩一览表.docx 3.商务和服务响应偏离表.docx 4.技术指标参数与供货渠道.docx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提供所投产品参数、性能等技术参数，并提供相关证明材料（包含但不限于标物证书、溯源证书、中国计量院检定证书、产品彩页等）。评标委员会根据响应情况进行赋分。 产品技术指标完全满足招标文件要求赋基础分25分产品技术指标含Ur / U的每有一项负偏离扣5分；扣完为止； 未提供本项不得分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4.技术指标参数与供货渠道.docx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进货渠道正规，有对本项目完整合法有效的供货协议，确保供应的产品无假货、无产权纠纷。供应商为制造厂家的提供所投生产承诺书或相关证明材料，供应商为经销商的提供所投产品合法来源渠道证明文件（包括但不限于：产品制造商授权或销售协议或代理协议等）。 承诺书、产品合法来源渠道证明文件完整，基本齐全的计3分； 承诺书、产品合法来源渠道证明文件不完整，不齐全的计2分； 未提供的得0分。 备注：以加盖供应商公章的证明材料扫描件或复印件为计分依据。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4.技术指标参数与供货渠道.docx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根据投标人提供的项目实施方案，包含：①项目实施规划②组织协调方案③供货进度计划④供货方案⑤质量保障及处理措施（内容包括但不限于安全保障措施、采购环节控制、运输等）。 方案各部分内容全面详细、阐述条理清晰详尽、符合本项目采购需求得10分；以上分项每缺少一项内容扣2分；有某一项不完整或不符合实际要求或不满足实施要求或套用其他项目内容的每项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针对本项目特点提出可能出现的紧急情况及对应的应急措施，评标委员会根据响应情况进行赋分。 应急措施能结合本项目实际情况，内容详细，针对性强，合理可行，能达到预期效果，得5分； 应急措施基本满足项目要求，内容较完善合理，保障措施全面性、可行性一般，得4分； 应急措施基本满足项目要求，内容较完善合理，但有待完善，保障措施全面性、可行性一般，得3分； 措施一般，内容粗略，条理性差，可行性一般得2分； 措施没有针对性和指导性，内容不全面，与项目内容相关性较差的，得1分。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6.应急措施.docx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投标人具备完善的售后服务能力，包含：①售后服务方案②回收方案③服务内容④故障响应时间、响应方式⑤产品质量问题退货、换货方案⑥售后人员保证性。 方案各部分内容全面详细、阐述条理清晰详尽、符合本项目采购需求的得10分，以上分项每缺少一项内容扣2分，有某一项不完整或不符合实际要求或不满足售后服务要求或套用其他项目内容的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7.售后服务能力.docx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根据采购需求，供应商编制完整、可行的质量保证措施，保证到货的产品应用效果。措施科学合理，描述清晰，且能针对性满足项目需求的得4分；措施合理，但陈述简单，缺乏针对性的得2分；措施笼统，不具有针对性的得1分；未提供不得分。 2.供应商提供标准物质生产者通过CMA/CNAS的认证，提供一个证书得1分，共计2分。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8.质量保证措施.docx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投标人提供针对本项目的拟投入人员配备，包括①人员岗位分工明确②管理及岗位制度③专业技术人员投入情况，进行赋分。 人员保障措施详细、职责划分清晰、拟投入的人员能够满足供货要求及项目需求每项计2分；人员保障有欠缺、人员职责不明确、且配备的人员无法满足项目需求每项计1分，最高6分；未提供的，得0分。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供应商提供2022年1月1日至今（以签订合同时间为准）已完成的类似项目业绩证明材料（附合同复印件加盖公章），每提供 1 份有效业绩得 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详见附件：4.技术指标参数与供货渠道.docx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详见附件：6.应急措施.docx</w:t>
      </w:r>
    </w:p>
    <w:p>
      <w:pPr>
        <w:pStyle w:val="null3"/>
        <w:ind w:firstLine="960"/>
      </w:pPr>
      <w:r>
        <w:rPr>
          <w:rFonts w:ascii="仿宋_GB2312" w:hAnsi="仿宋_GB2312" w:cs="仿宋_GB2312" w:eastAsia="仿宋_GB2312"/>
        </w:rPr>
        <w:t>详见附件：7.售后服务能力.docx</w:t>
      </w:r>
    </w:p>
    <w:p>
      <w:pPr>
        <w:pStyle w:val="null3"/>
        <w:ind w:firstLine="960"/>
      </w:pPr>
      <w:r>
        <w:rPr>
          <w:rFonts w:ascii="仿宋_GB2312" w:hAnsi="仿宋_GB2312" w:cs="仿宋_GB2312" w:eastAsia="仿宋_GB2312"/>
        </w:rPr>
        <w:t>详见附件：8.质量保证措施.docx</w:t>
      </w:r>
    </w:p>
    <w:p>
      <w:pPr>
        <w:pStyle w:val="null3"/>
        <w:ind w:firstLine="960"/>
      </w:pPr>
      <w:r>
        <w:rPr>
          <w:rFonts w:ascii="仿宋_GB2312" w:hAnsi="仿宋_GB2312" w:cs="仿宋_GB2312" w:eastAsia="仿宋_GB2312"/>
        </w:rPr>
        <w:t>详见附件：9.人员配置.docx</w:t>
      </w:r>
    </w:p>
    <w:p>
      <w:pPr>
        <w:pStyle w:val="null3"/>
        <w:ind w:firstLine="960"/>
      </w:pPr>
      <w:r>
        <w:rPr>
          <w:rFonts w:ascii="仿宋_GB2312" w:hAnsi="仿宋_GB2312" w:cs="仿宋_GB2312" w:eastAsia="仿宋_GB2312"/>
        </w:rPr>
        <w:t>详见附件：10.供应商业绩一览表.docx</w:t>
      </w:r>
    </w:p>
    <w:p>
      <w:pPr>
        <w:pStyle w:val="null3"/>
        <w:ind w:firstLine="960"/>
      </w:pPr>
      <w:r>
        <w:rPr>
          <w:rFonts w:ascii="仿宋_GB2312" w:hAnsi="仿宋_GB2312" w:cs="仿宋_GB2312" w:eastAsia="仿宋_GB2312"/>
        </w:rPr>
        <w:t>详见附件：11.供应商承诺书.docx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详见附件：标准物质购置合同.docx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