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CFE07">
      <w:pPr>
        <w:pStyle w:val="17"/>
      </w:pPr>
    </w:p>
    <w:p w14:paraId="456C257D">
      <w:pPr>
        <w:spacing w:line="360" w:lineRule="auto"/>
        <w:jc w:val="center"/>
        <w:rPr>
          <w:rFonts w:asciiTheme="minorEastAsia" w:hAnsiTheme="minorEastAsia" w:eastAsiaTheme="minorEastAsia" w:cstheme="minorEastAsia"/>
          <w:b/>
          <w:bCs/>
          <w:color w:val="auto"/>
          <w:sz w:val="24"/>
        </w:rPr>
      </w:pPr>
    </w:p>
    <w:p w14:paraId="10D4C9FE">
      <w:pPr>
        <w:spacing w:line="360" w:lineRule="auto"/>
        <w:jc w:val="center"/>
        <w:rPr>
          <w:rFonts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标准物质</w:t>
      </w:r>
      <w:r>
        <w:rPr>
          <w:rFonts w:hint="eastAsia" w:asciiTheme="minorEastAsia" w:hAnsiTheme="minorEastAsia" w:eastAsiaTheme="minorEastAsia" w:cstheme="minorEastAsia"/>
          <w:b/>
          <w:bCs/>
          <w:color w:val="auto"/>
          <w:sz w:val="44"/>
          <w:szCs w:val="44"/>
          <w:lang w:eastAsia="zh-CN"/>
        </w:rPr>
        <w:t>、试剂</w:t>
      </w:r>
      <w:r>
        <w:rPr>
          <w:rFonts w:hint="eastAsia" w:asciiTheme="minorEastAsia" w:hAnsiTheme="minorEastAsia" w:eastAsiaTheme="minorEastAsia" w:cstheme="minorEastAsia"/>
          <w:b/>
          <w:bCs/>
          <w:color w:val="auto"/>
          <w:sz w:val="44"/>
          <w:szCs w:val="44"/>
        </w:rPr>
        <w:t>购置</w:t>
      </w:r>
    </w:p>
    <w:p w14:paraId="62294874">
      <w:pPr>
        <w:spacing w:line="360" w:lineRule="auto"/>
        <w:jc w:val="center"/>
        <w:rPr>
          <w:rFonts w:asciiTheme="minorEastAsia" w:hAnsiTheme="minorEastAsia" w:eastAsiaTheme="minorEastAsia" w:cstheme="minorEastAsia"/>
          <w:b/>
          <w:bCs/>
          <w:color w:val="auto"/>
          <w:sz w:val="44"/>
          <w:szCs w:val="44"/>
        </w:rPr>
      </w:pPr>
    </w:p>
    <w:p w14:paraId="044E6B0A">
      <w:pPr>
        <w:spacing w:line="360" w:lineRule="auto"/>
        <w:jc w:val="center"/>
        <w:rPr>
          <w:rFonts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采购合同</w:t>
      </w:r>
    </w:p>
    <w:p w14:paraId="0C5A6DBE">
      <w:pPr>
        <w:spacing w:line="360" w:lineRule="auto"/>
        <w:jc w:val="center"/>
        <w:rPr>
          <w:rFonts w:asciiTheme="minorEastAsia" w:hAnsiTheme="minorEastAsia" w:eastAsiaTheme="minorEastAsia" w:cstheme="minorEastAsia"/>
          <w:color w:val="auto"/>
          <w:sz w:val="24"/>
        </w:rPr>
      </w:pPr>
    </w:p>
    <w:p w14:paraId="1F23205A">
      <w:pPr>
        <w:spacing w:line="360" w:lineRule="auto"/>
        <w:jc w:val="center"/>
        <w:rPr>
          <w:rFonts w:asciiTheme="minorEastAsia" w:hAnsiTheme="minorEastAsia" w:eastAsiaTheme="minorEastAsia" w:cstheme="minorEastAsia"/>
          <w:color w:val="auto"/>
          <w:sz w:val="24"/>
        </w:rPr>
      </w:pPr>
    </w:p>
    <w:p w14:paraId="4C666B5D">
      <w:pPr>
        <w:spacing w:line="360" w:lineRule="auto"/>
        <w:jc w:val="center"/>
        <w:rPr>
          <w:rFonts w:asciiTheme="minorEastAsia" w:hAnsiTheme="minorEastAsia" w:eastAsiaTheme="minorEastAsia" w:cstheme="minorEastAsia"/>
          <w:color w:val="auto"/>
          <w:sz w:val="24"/>
        </w:rPr>
      </w:pPr>
    </w:p>
    <w:p w14:paraId="5CCE4A3B">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p>
    <w:p w14:paraId="693CC1FF">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合同文本</w:t>
      </w:r>
    </w:p>
    <w:p w14:paraId="569466FA">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p>
    <w:p w14:paraId="1DEAFD8F">
      <w:pPr>
        <w:adjustRightInd w:val="0"/>
        <w:snapToGrid w:val="0"/>
        <w:spacing w:line="360" w:lineRule="auto"/>
        <w:ind w:firstLine="482" w:firstLineChars="200"/>
        <w:rPr>
          <w:rFonts w:asciiTheme="minorEastAsia" w:hAnsiTheme="minorEastAsia" w:eastAsiaTheme="minorEastAsia" w:cstheme="minorEastAsia"/>
          <w:b/>
          <w:color w:val="auto"/>
          <w:sz w:val="24"/>
          <w:u w:val="single"/>
        </w:rPr>
      </w:pPr>
      <w:r>
        <w:rPr>
          <w:rFonts w:hint="eastAsia" w:asciiTheme="minorEastAsia" w:hAnsiTheme="minorEastAsia" w:eastAsiaTheme="minorEastAsia" w:cstheme="minorEastAsia"/>
          <w:b/>
          <w:color w:val="auto"/>
          <w:sz w:val="24"/>
        </w:rPr>
        <w:t>采购人（全称）：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 xml:space="preserve">  西安计量技术研究院</w:t>
      </w:r>
      <w:r>
        <w:rPr>
          <w:rFonts w:hint="eastAsia" w:asciiTheme="minorEastAsia" w:hAnsiTheme="minorEastAsia" w:eastAsiaTheme="minorEastAsia" w:cstheme="minorEastAsia"/>
          <w:color w:val="auto"/>
          <w:sz w:val="24"/>
          <w:u w:val="single"/>
        </w:rPr>
        <w:tab/>
      </w:r>
    </w:p>
    <w:p w14:paraId="5B042931">
      <w:pPr>
        <w:adjustRightInd w:val="0"/>
        <w:snapToGrid w:val="0"/>
        <w:spacing w:line="360" w:lineRule="auto"/>
        <w:ind w:firstLine="482" w:firstLineChars="200"/>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b/>
          <w:color w:val="auto"/>
          <w:sz w:val="24"/>
        </w:rPr>
        <w:t>供应商（全称）：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p>
    <w:p w14:paraId="40806539">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依照《中华人民共和国民法典》及其他有关法律、法规，遵循平等、自愿、公平和诚信的原则，双方就下述项目范围与相关服务事项协商一致，订立本合同。</w:t>
      </w:r>
    </w:p>
    <w:p w14:paraId="6F9CD593">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一、项目概况</w:t>
      </w:r>
    </w:p>
    <w:p w14:paraId="213ABEDC">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rPr>
        <w:t>标准物质</w:t>
      </w:r>
      <w:r>
        <w:rPr>
          <w:rFonts w:hint="eastAsia" w:asciiTheme="minorEastAsia" w:hAnsiTheme="minorEastAsia" w:eastAsiaTheme="minorEastAsia" w:cstheme="minorEastAsia"/>
          <w:color w:val="auto"/>
          <w:sz w:val="24"/>
          <w:u w:val="single"/>
          <w:lang w:eastAsia="zh-CN"/>
        </w:rPr>
        <w:t>、试剂</w:t>
      </w:r>
      <w:r>
        <w:rPr>
          <w:rFonts w:hint="eastAsia" w:asciiTheme="minorEastAsia" w:hAnsiTheme="minorEastAsia" w:eastAsiaTheme="minorEastAsia" w:cstheme="minorEastAsia"/>
          <w:color w:val="auto"/>
          <w:sz w:val="24"/>
          <w:u w:val="single"/>
        </w:rPr>
        <w:t>购置</w:t>
      </w:r>
    </w:p>
    <w:p w14:paraId="341B3B66">
      <w:pPr>
        <w:adjustRightInd w:val="0"/>
        <w:snapToGrid w:val="0"/>
        <w:spacing w:line="360" w:lineRule="auto"/>
        <w:ind w:firstLine="480" w:firstLineChars="200"/>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rPr>
        <w:t>2、项目地点：</w:t>
      </w:r>
      <w:r>
        <w:rPr>
          <w:rFonts w:hint="eastAsia" w:asciiTheme="minorEastAsia" w:hAnsiTheme="minorEastAsia" w:eastAsiaTheme="minorEastAsia" w:cstheme="minorEastAsia"/>
          <w:color w:val="auto"/>
          <w:sz w:val="24"/>
          <w:u w:val="single"/>
        </w:rPr>
        <w:t>采购人指定地点</w:t>
      </w:r>
      <w:r>
        <w:rPr>
          <w:rFonts w:hint="eastAsia" w:asciiTheme="minorEastAsia" w:hAnsiTheme="minorEastAsia" w:eastAsiaTheme="minorEastAsia" w:cstheme="minorEastAsia"/>
          <w:color w:val="auto"/>
          <w:sz w:val="24"/>
          <w:u w:val="single"/>
          <w:lang w:val="en-US" w:eastAsia="zh-CN"/>
        </w:rPr>
        <w:t xml:space="preserve">   </w:t>
      </w:r>
    </w:p>
    <w:p w14:paraId="626594AC">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二、组成本合同的文件</w:t>
      </w:r>
    </w:p>
    <w:p w14:paraId="066B086B">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1、合同文本、中标通知书、投标文件、招标文件、澄清、招标补充文件（或委托书）；</w:t>
      </w:r>
    </w:p>
    <w:p w14:paraId="75713DB7">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2、相关服务建议书；</w:t>
      </w:r>
    </w:p>
    <w:p w14:paraId="16408026">
      <w:pPr>
        <w:adjustRightInd w:val="0"/>
        <w:snapToGri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3、本合同签订后，双方依法签订的补充协议也是本合同文件的组成部分。</w:t>
      </w:r>
    </w:p>
    <w:p w14:paraId="45AC5570">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三、合同价款</w:t>
      </w:r>
    </w:p>
    <w:p w14:paraId="76297F63">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1、合同金额（大</w:t>
      </w:r>
      <w:r>
        <w:rPr>
          <w:rFonts w:hint="eastAsia" w:asciiTheme="minorEastAsia" w:hAnsiTheme="minorEastAsia" w:eastAsiaTheme="minorEastAsia" w:cstheme="minorEastAsia"/>
          <w:color w:val="auto"/>
          <w:sz w:val="24"/>
          <w:highlight w:val="none"/>
        </w:rPr>
        <w:t>写人民币</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rPr>
        <w:t>元）；</w:t>
      </w:r>
    </w:p>
    <w:p w14:paraId="174191F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2、合同价格即中标价，供应商完成所要求的产品、服务且验收合格的所有费用，包括但不限于设备费、运输费、保险费、安装调试费、检定/校准费、仓储保管费、培训费、验收费等其他一切相关费用；</w:t>
      </w:r>
    </w:p>
    <w:p w14:paraId="654FC1B6">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3、合同价格为含税价，供应商提供产品所发生的一切税（包括增值税）费等都已包含于合同价款中；</w:t>
      </w:r>
    </w:p>
    <w:p w14:paraId="7584A62B">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4、该合同总价不受市场价格变化或实际工作量变化的影响，在合同有效期不做任何调整，供应商自行承担所供货物的市场价格变化。</w:t>
      </w:r>
    </w:p>
    <w:p w14:paraId="39915263">
      <w:pPr>
        <w:adjustRightInd w:val="0"/>
        <w:snapToGrid w:val="0"/>
        <w:spacing w:line="360" w:lineRule="auto"/>
        <w:outlineLvl w:val="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rPr>
        <w:t>四、期限</w:t>
      </w:r>
    </w:p>
    <w:p w14:paraId="38AE0F7D">
      <w:pPr>
        <w:pStyle w:val="17"/>
        <w:keepLines w:val="0"/>
        <w:pageBreakBefore w:val="0"/>
        <w:numPr>
          <w:ilvl w:val="0"/>
          <w:numId w:val="0"/>
        </w:numPr>
        <w:wordWrap/>
        <w:overflowPunct/>
        <w:topLinePunct w:val="0"/>
        <w:bidi w:val="0"/>
        <w:spacing w:line="360" w:lineRule="auto"/>
        <w:ind w:left="120" w:leftChars="0" w:firstLine="480" w:firstLineChars="200"/>
        <w:textAlignment w:val="auto"/>
        <w:outlineLvl w:val="3"/>
        <w:rPr>
          <w:highlight w:val="none"/>
        </w:rPr>
      </w:pPr>
      <w:r>
        <w:rPr>
          <w:rFonts w:hint="eastAsia"/>
          <w:highlight w:val="none"/>
        </w:rPr>
        <w:t xml:space="preserve">    </w:t>
      </w:r>
      <w:r>
        <w:rPr>
          <w:rFonts w:hint="eastAsia" w:ascii="宋体" w:hAnsi="宋体" w:eastAsia="宋体" w:cs="宋体"/>
          <w:sz w:val="24"/>
          <w:szCs w:val="24"/>
          <w:lang w:val="en-US" w:eastAsia="zh-Hans"/>
        </w:rPr>
        <w:t>按照采购人要求，采取分批次供货。采购人提出供货需求后，供应商在</w:t>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Hans"/>
        </w:rPr>
        <w:t>0个日历日内完成供货。</w:t>
      </w:r>
      <w:r>
        <w:rPr>
          <w:rFonts w:hint="eastAsia"/>
          <w:highlight w:val="none"/>
        </w:rPr>
        <w:t>质保期</w:t>
      </w:r>
      <w:r>
        <w:rPr>
          <w:rFonts w:hint="eastAsia"/>
          <w:highlight w:val="none"/>
          <w:lang w:val="en-US" w:eastAsia="zh-CN"/>
        </w:rPr>
        <w:t>不小于证书有效期。</w:t>
      </w:r>
    </w:p>
    <w:p w14:paraId="5FA5CC42">
      <w:pPr>
        <w:pStyle w:val="17"/>
      </w:pPr>
      <w:r>
        <w:rPr>
          <w:rFonts w:hint="eastAsia"/>
          <w:highlight w:val="none"/>
        </w:rPr>
        <w:t xml:space="preserve">    1、交货期：中标供应商承诺的交货期优于招标文件要求的，</w:t>
      </w:r>
      <w:r>
        <w:rPr>
          <w:rFonts w:hint="eastAsia"/>
        </w:rPr>
        <w:t>按其承诺时间；</w:t>
      </w:r>
    </w:p>
    <w:p w14:paraId="77DD80BE">
      <w:pPr>
        <w:pStyle w:val="17"/>
      </w:pPr>
      <w:r>
        <w:rPr>
          <w:rFonts w:hint="eastAsia"/>
        </w:rPr>
        <w:t xml:space="preserve">    2、质保期：中标供应商承诺的质保期优于招标文件要求的，按其承诺时间。</w:t>
      </w:r>
    </w:p>
    <w:p w14:paraId="30A24C02">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五、</w:t>
      </w:r>
      <w:r>
        <w:rPr>
          <w:rFonts w:hint="eastAsia" w:asciiTheme="minorEastAsia" w:hAnsiTheme="minorEastAsia" w:eastAsiaTheme="minorEastAsia" w:cstheme="minorEastAsia"/>
          <w:b/>
          <w:color w:val="auto"/>
          <w:sz w:val="24"/>
        </w:rPr>
        <w:t>结算</w:t>
      </w:r>
      <w:r>
        <w:rPr>
          <w:rFonts w:asciiTheme="minorEastAsia" w:hAnsiTheme="minorEastAsia" w:eastAsiaTheme="minorEastAsia" w:cstheme="minorEastAsia"/>
          <w:b/>
          <w:color w:val="auto"/>
          <w:sz w:val="24"/>
        </w:rPr>
        <w:t>方式</w:t>
      </w:r>
    </w:p>
    <w:p w14:paraId="66255B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合同签订之后五个工作日内，供应商按采购人指定账户交纳合同总价款的5%作为履约保证金。标准物质按照采购人要求，采取分批次供货。当采购人提出供货需求后，供应商在</w:t>
      </w:r>
      <w:r>
        <w:rPr>
          <w:rFonts w:hint="eastAsia" w:ascii="宋体" w:hAnsi="宋体" w:eastAsia="宋体" w:cs="宋体"/>
          <w:sz w:val="24"/>
          <w:szCs w:val="24"/>
          <w:lang w:val="en-US" w:eastAsia="zh-CN"/>
        </w:rPr>
        <w:t>30</w:t>
      </w:r>
      <w:r>
        <w:rPr>
          <w:rFonts w:hint="eastAsia" w:ascii="宋体" w:hAnsi="宋体" w:eastAsia="宋体" w:cs="宋体"/>
          <w:sz w:val="24"/>
          <w:szCs w:val="24"/>
          <w:lang w:val="en-US" w:eastAsia="zh-Hans"/>
        </w:rPr>
        <w:t>个日历日内完成供货，同时提供供货清单和发票，采购人组织相关人员完成验收后，按照供应商提供的当次供货清单和发票金额完成支付。</w:t>
      </w:r>
    </w:p>
    <w:p w14:paraId="6CF73A4B">
      <w:pPr>
        <w:pStyle w:val="29"/>
        <w:ind w:firstLine="484" w:firstLineChars="202"/>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供应商按采购人的供货要求和方式，完成全部供货、提供</w:t>
      </w:r>
      <w:r>
        <w:rPr>
          <w:rFonts w:hint="eastAsia" w:ascii="宋体" w:hAnsi="宋体" w:eastAsia="宋体" w:cs="宋体"/>
          <w:sz w:val="24"/>
          <w:szCs w:val="24"/>
          <w:lang w:val="en-US" w:eastAsia="zh-CN"/>
        </w:rPr>
        <w:t>剩余</w:t>
      </w:r>
      <w:r>
        <w:rPr>
          <w:rFonts w:hint="eastAsia" w:ascii="宋体" w:hAnsi="宋体" w:eastAsia="宋体" w:cs="宋体"/>
          <w:sz w:val="24"/>
          <w:szCs w:val="24"/>
          <w:lang w:val="en-US" w:eastAsia="zh-Hans"/>
        </w:rPr>
        <w:t>全部供货清单和发票后，并最终全部验收合格后，采购人向供应商支付剩余货款；采购人</w:t>
      </w:r>
      <w:r>
        <w:rPr>
          <w:rFonts w:hint="eastAsia" w:ascii="宋体" w:hAnsi="宋体" w:eastAsia="宋体" w:cs="宋体"/>
          <w:sz w:val="24"/>
          <w:szCs w:val="24"/>
          <w:lang w:val="en-US" w:eastAsia="zh-CN"/>
        </w:rPr>
        <w:t>按照供应商履约情况，</w:t>
      </w:r>
      <w:r>
        <w:rPr>
          <w:rFonts w:hint="eastAsia" w:ascii="宋体" w:hAnsi="宋体" w:eastAsia="宋体" w:cs="宋体"/>
          <w:sz w:val="24"/>
          <w:szCs w:val="24"/>
          <w:lang w:val="en-US" w:eastAsia="zh-Hans"/>
        </w:rPr>
        <w:t>将履约保证金无息退还供应商。</w:t>
      </w:r>
    </w:p>
    <w:p w14:paraId="4F2B29E9">
      <w:pPr>
        <w:pStyle w:val="29"/>
        <w:ind w:firstLine="424" w:firstLineChars="202"/>
      </w:pPr>
      <w:r>
        <w:rPr>
          <w:rFonts w:hint="eastAsia"/>
          <w:lang w:val="en-US" w:eastAsia="zh-CN"/>
        </w:rPr>
        <w:t>3、</w:t>
      </w:r>
      <w:r>
        <w:t>支付方式：银行转账，采购人将应付供应商的款项付款至下列指定账户：</w:t>
      </w:r>
    </w:p>
    <w:p w14:paraId="1757E759">
      <w:pPr>
        <w:pStyle w:val="17"/>
      </w:pPr>
      <w:r>
        <w:rPr>
          <w:rFonts w:hint="eastAsia"/>
        </w:rPr>
        <w:t xml:space="preserve">    </w:t>
      </w:r>
      <w:r>
        <w:t>单    位：</w:t>
      </w:r>
      <w:r>
        <w:rPr>
          <w:rFonts w:hint="eastAsia"/>
          <w:u w:val="single"/>
          <w:lang w:val="en-US" w:eastAsia="zh-CN"/>
        </w:rPr>
        <w:t xml:space="preserve">                      </w:t>
      </w:r>
      <w:r>
        <w:rPr>
          <w:rFonts w:hint="eastAsia"/>
          <w:u w:val="single"/>
        </w:rPr>
        <w:t xml:space="preserve">                      </w:t>
      </w:r>
      <w:r>
        <w:rPr>
          <w:u w:val="single"/>
        </w:rPr>
        <w:t xml:space="preserve"> </w:t>
      </w:r>
    </w:p>
    <w:p w14:paraId="5B5B9501">
      <w:pPr>
        <w:pStyle w:val="17"/>
      </w:pPr>
      <w:r>
        <w:rPr>
          <w:rFonts w:hint="eastAsia"/>
        </w:rPr>
        <w:t xml:space="preserve">    </w:t>
      </w:r>
      <w:r>
        <w:t>地    址：</w:t>
      </w:r>
      <w:r>
        <w:rPr>
          <w:rFonts w:hint="eastAsia"/>
          <w:u w:val="single"/>
          <w:lang w:val="en-US" w:eastAsia="zh-CN"/>
        </w:rPr>
        <w:t xml:space="preserve">                                        </w:t>
      </w:r>
      <w:r>
        <w:rPr>
          <w:rFonts w:hint="eastAsia"/>
          <w:u w:val="single"/>
        </w:rPr>
        <w:t xml:space="preserve"> </w:t>
      </w:r>
    </w:p>
    <w:p w14:paraId="610AE105">
      <w:pPr>
        <w:pStyle w:val="17"/>
      </w:pPr>
      <w:r>
        <w:rPr>
          <w:rFonts w:hint="eastAsia"/>
        </w:rPr>
        <w:t xml:space="preserve">    </w:t>
      </w:r>
      <w:r>
        <w:t>开户银行：</w:t>
      </w:r>
      <w:r>
        <w:rPr>
          <w:rFonts w:hint="eastAsia"/>
          <w:u w:val="single"/>
          <w:lang w:val="en-US" w:eastAsia="zh-CN"/>
        </w:rPr>
        <w:t xml:space="preserve">                               </w:t>
      </w:r>
      <w:r>
        <w:rPr>
          <w:rFonts w:hint="eastAsia"/>
          <w:u w:val="single"/>
        </w:rPr>
        <w:t xml:space="preserve">             </w:t>
      </w:r>
    </w:p>
    <w:p w14:paraId="1E9A3884">
      <w:pPr>
        <w:pStyle w:val="17"/>
      </w:pPr>
      <w:r>
        <w:rPr>
          <w:rFonts w:hint="eastAsia"/>
        </w:rPr>
        <w:t xml:space="preserve">    </w:t>
      </w:r>
      <w:r>
        <w:t>账    号：</w:t>
      </w:r>
      <w:r>
        <w:rPr>
          <w:rFonts w:hint="eastAsia"/>
          <w:u w:val="single"/>
          <w:lang w:val="en-US" w:eastAsia="zh-CN"/>
        </w:rPr>
        <w:t xml:space="preserve">              </w:t>
      </w:r>
      <w:r>
        <w:rPr>
          <w:u w:val="single"/>
        </w:rPr>
        <w:t xml:space="preserve">              </w:t>
      </w:r>
      <w:r>
        <w:rPr>
          <w:rFonts w:hint="eastAsia"/>
          <w:u w:val="single"/>
        </w:rPr>
        <w:t xml:space="preserve">               </w:t>
      </w:r>
    </w:p>
    <w:p w14:paraId="0ED1569F">
      <w:pPr>
        <w:pStyle w:val="17"/>
      </w:pPr>
      <w:r>
        <w:rPr>
          <w:rFonts w:hint="eastAsia"/>
        </w:rPr>
        <w:t xml:space="preserve">    </w:t>
      </w:r>
      <w:r>
        <w:t>履约保证金支付方式：银行转账，供应商支付履约保证金至下列指定账户：</w:t>
      </w:r>
    </w:p>
    <w:p w14:paraId="32A96351">
      <w:pPr>
        <w:pStyle w:val="17"/>
      </w:pPr>
      <w:r>
        <w:rPr>
          <w:rFonts w:hint="eastAsia"/>
        </w:rPr>
        <w:t xml:space="preserve">    账户名称</w:t>
      </w:r>
      <w:r>
        <w:t>：</w:t>
      </w:r>
      <w:r>
        <w:rPr>
          <w:rFonts w:hint="eastAsia"/>
          <w:u w:val="single"/>
          <w:lang w:val="en-US" w:eastAsia="zh-CN"/>
        </w:rPr>
        <w:t xml:space="preserve">                              </w:t>
      </w:r>
      <w:r>
        <w:rPr>
          <w:rFonts w:hint="eastAsia"/>
          <w:u w:val="single"/>
        </w:rPr>
        <w:t xml:space="preserve">         </w:t>
      </w:r>
    </w:p>
    <w:p w14:paraId="35D40CF5">
      <w:pPr>
        <w:pStyle w:val="17"/>
      </w:pPr>
      <w:r>
        <w:rPr>
          <w:rFonts w:hint="eastAsia"/>
        </w:rPr>
        <w:t xml:space="preserve">    </w:t>
      </w:r>
      <w:r>
        <w:t>开户银行：</w:t>
      </w:r>
      <w:r>
        <w:rPr>
          <w:rFonts w:hint="eastAsia"/>
          <w:u w:val="single"/>
          <w:lang w:val="en-US" w:eastAsia="zh-CN"/>
        </w:rPr>
        <w:t xml:space="preserve">                             </w:t>
      </w:r>
      <w:r>
        <w:rPr>
          <w:rFonts w:hint="eastAsia"/>
          <w:u w:val="single"/>
        </w:rPr>
        <w:t xml:space="preserve">          </w:t>
      </w:r>
    </w:p>
    <w:p w14:paraId="7648C2DA">
      <w:pPr>
        <w:pStyle w:val="17"/>
      </w:pPr>
      <w:r>
        <w:rPr>
          <w:rFonts w:hint="eastAsia"/>
        </w:rPr>
        <w:t xml:space="preserve">    </w:t>
      </w:r>
      <w:r>
        <w:t>账    号：</w:t>
      </w:r>
      <w:r>
        <w:rPr>
          <w:rFonts w:hint="eastAsia"/>
          <w:u w:val="single"/>
          <w:lang w:val="en-US" w:eastAsia="zh-CN"/>
        </w:rPr>
        <w:t xml:space="preserve">                             </w:t>
      </w:r>
      <w:r>
        <w:rPr>
          <w:rFonts w:hint="eastAsia"/>
          <w:u w:val="single"/>
        </w:rPr>
        <w:t xml:space="preserve">               </w:t>
      </w:r>
    </w:p>
    <w:p w14:paraId="73534F78">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六、检定/校准/检测</w:t>
      </w:r>
    </w:p>
    <w:p w14:paraId="280E4029">
      <w:pPr>
        <w:pStyle w:val="17"/>
      </w:pPr>
      <w:r>
        <w:rPr>
          <w:rFonts w:hint="eastAsia"/>
        </w:rPr>
        <w:t xml:space="preserve">    验收时供应商需向采购人提供有证标准物质证书或溯源证书等资料，由此产生的所有费用由供应商承担。（除无需溯源的）</w:t>
      </w:r>
    </w:p>
    <w:p w14:paraId="4B91D52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七、内容及要求</w:t>
      </w:r>
    </w:p>
    <w:p w14:paraId="4E7541BB">
      <w:pPr>
        <w:tabs>
          <w:tab w:val="left" w:pos="396"/>
        </w:tabs>
        <w:adjustRightInd w:val="0"/>
        <w:snapToGrid w:val="0"/>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color w:val="auto"/>
          <w:sz w:val="24"/>
        </w:rPr>
        <w:t xml:space="preserve">    1、项目要求:</w:t>
      </w:r>
    </w:p>
    <w:p w14:paraId="5F19C726">
      <w:pPr>
        <w:tabs>
          <w:tab w:val="left" w:pos="396"/>
        </w:tabs>
        <w:adjustRightInd w:val="0"/>
        <w:snapToGrid w:val="0"/>
        <w:spacing w:line="360" w:lineRule="auto"/>
        <w:ind w:firstLine="480"/>
        <w:jc w:val="left"/>
        <w:rPr>
          <w:rFonts w:hint="eastAsia" w:asciiTheme="minorEastAsia" w:hAnsiTheme="minorEastAsia" w:eastAsiaTheme="minorEastAsia"/>
          <w:sz w:val="24"/>
        </w:rPr>
      </w:pPr>
      <w:r>
        <w:rPr>
          <w:rFonts w:hint="eastAsia" w:asciiTheme="minorEastAsia" w:hAnsiTheme="minorEastAsia" w:eastAsiaTheme="minorEastAsia" w:cstheme="minorEastAsia"/>
          <w:sz w:val="24"/>
        </w:rPr>
        <w:t>标准物质</w:t>
      </w:r>
      <w:r>
        <w:rPr>
          <w:rFonts w:hint="eastAsia" w:asciiTheme="minorEastAsia" w:hAnsiTheme="minorEastAsia" w:eastAsiaTheme="minorEastAsia" w:cstheme="minorEastAsia"/>
          <w:sz w:val="24"/>
          <w:lang w:eastAsia="zh-CN"/>
        </w:rPr>
        <w:t>、试剂</w:t>
      </w:r>
      <w:r>
        <w:rPr>
          <w:rFonts w:hint="eastAsia" w:asciiTheme="minorEastAsia" w:hAnsiTheme="minorEastAsia" w:eastAsiaTheme="minorEastAsia" w:cstheme="minorEastAsia"/>
          <w:sz w:val="24"/>
        </w:rPr>
        <w:t>购置,</w:t>
      </w:r>
      <w:r>
        <w:rPr>
          <w:rFonts w:hint="eastAsia" w:asciiTheme="minorEastAsia" w:hAnsiTheme="minorEastAsia" w:eastAsiaTheme="minorEastAsia"/>
          <w:sz w:val="24"/>
        </w:rPr>
        <w:t>技术参数及服务内容要求如下：</w:t>
      </w:r>
    </w:p>
    <w:tbl>
      <w:tblPr>
        <w:tblStyle w:val="15"/>
        <w:tblpPr w:leftFromText="180" w:rightFromText="180" w:vertAnchor="text" w:horzAnchor="page" w:tblpX="1475" w:tblpY="39"/>
        <w:tblOverlap w:val="never"/>
        <w:tblW w:w="9138" w:type="dxa"/>
        <w:jc w:val="center"/>
        <w:tblLayout w:type="fixed"/>
        <w:tblCellMar>
          <w:top w:w="0" w:type="dxa"/>
          <w:left w:w="108" w:type="dxa"/>
          <w:bottom w:w="0" w:type="dxa"/>
          <w:right w:w="108" w:type="dxa"/>
        </w:tblCellMar>
      </w:tblPr>
      <w:tblGrid>
        <w:gridCol w:w="450"/>
        <w:gridCol w:w="1568"/>
        <w:gridCol w:w="1080"/>
        <w:gridCol w:w="1830"/>
        <w:gridCol w:w="625"/>
        <w:gridCol w:w="1112"/>
        <w:gridCol w:w="1077"/>
        <w:gridCol w:w="614"/>
        <w:gridCol w:w="782"/>
      </w:tblGrid>
      <w:tr w14:paraId="3B55E10F">
        <w:tblPrEx>
          <w:tblCellMar>
            <w:top w:w="0" w:type="dxa"/>
            <w:left w:w="108" w:type="dxa"/>
            <w:bottom w:w="0" w:type="dxa"/>
            <w:right w:w="108" w:type="dxa"/>
          </w:tblCellMar>
        </w:tblPrEx>
        <w:trPr>
          <w:trHeight w:val="600" w:hRule="atLeast"/>
          <w:jc w:val="center"/>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0F6C">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bookmarkStart w:id="0" w:name="_GoBack"/>
            <w:bookmarkEnd w:id="0"/>
            <w:r>
              <w:rPr>
                <w:rFonts w:hint="eastAsia" w:ascii="黑体" w:hAnsi="宋体" w:eastAsia="黑体" w:cs="黑体"/>
                <w:color w:val="auto"/>
                <w:sz w:val="15"/>
                <w:szCs w:val="15"/>
                <w:lang w:eastAsia="zh-CN"/>
              </w:rPr>
              <w:t>序号</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3342">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标物名称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267EE">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项目</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7926">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标称值</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7252">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数量/套</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8744">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规程准确度要求</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8F0C7">
            <w:pPr>
              <w:keepNext w:val="0"/>
              <w:keepLines w:val="0"/>
              <w:widowControl/>
              <w:suppressLineNumbers w:val="0"/>
              <w:spacing w:before="0" w:beforeAutospacing="0" w:after="0" w:afterAutospacing="0"/>
              <w:ind w:left="0" w:right="0"/>
              <w:jc w:val="center"/>
              <w:textAlignment w:val="center"/>
              <w:rPr>
                <w:rFonts w:ascii="Times New Roman" w:hAnsi="Times New Roman" w:eastAsia="宋体" w:cs="Times New Roman"/>
                <w:color w:val="auto"/>
                <w:sz w:val="15"/>
                <w:szCs w:val="15"/>
              </w:rPr>
            </w:pPr>
            <w:r>
              <w:rPr>
                <w:rStyle w:val="31"/>
                <w:rFonts w:hint="eastAsia"/>
                <w:color w:val="auto"/>
                <w:sz w:val="15"/>
                <w:szCs w:val="15"/>
                <w:lang w:eastAsia="zh-CN"/>
              </w:rPr>
              <w:t>计量技术</w:t>
            </w:r>
            <w:r>
              <w:rPr>
                <w:rStyle w:val="31"/>
                <w:rFonts w:hint="default"/>
                <w:color w:val="auto"/>
                <w:sz w:val="15"/>
                <w:szCs w:val="15"/>
                <w:lang w:eastAsia="zh-CN"/>
              </w:rPr>
              <w:t>规范</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0E0A">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rPr>
            </w:pPr>
            <w:r>
              <w:rPr>
                <w:rFonts w:hint="eastAsia" w:ascii="黑体" w:hAnsi="宋体" w:eastAsia="黑体" w:cs="黑体"/>
                <w:color w:val="auto"/>
                <w:sz w:val="15"/>
                <w:szCs w:val="15"/>
                <w:lang w:eastAsia="zh-CN"/>
              </w:rPr>
              <w:t>合计</w:t>
            </w:r>
            <w:r>
              <w:rPr>
                <w:rFonts w:hint="eastAsia" w:ascii="黑体" w:hAnsi="宋体" w:eastAsia="黑体" w:cs="黑体"/>
                <w:color w:val="auto"/>
                <w:sz w:val="15"/>
                <w:szCs w:val="15"/>
                <w:lang w:val="en-US" w:eastAsia="zh-CN"/>
              </w:rPr>
              <w:t>/</w:t>
            </w:r>
            <w:r>
              <w:rPr>
                <w:rFonts w:hint="eastAsia" w:ascii="黑体" w:hAnsi="宋体" w:eastAsia="黑体" w:cs="黑体"/>
                <w:color w:val="auto"/>
                <w:sz w:val="15"/>
                <w:szCs w:val="15"/>
                <w:lang w:eastAsia="zh-CN"/>
              </w:rPr>
              <w:t>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34253">
            <w:pPr>
              <w:keepNext w:val="0"/>
              <w:keepLines w:val="0"/>
              <w:widowControl/>
              <w:suppressLineNumbers w:val="0"/>
              <w:spacing w:before="0" w:beforeAutospacing="0" w:after="0" w:afterAutospacing="0"/>
              <w:ind w:left="0" w:right="0"/>
              <w:jc w:val="center"/>
              <w:textAlignment w:val="center"/>
              <w:rPr>
                <w:rFonts w:ascii="黑体" w:hAnsi="宋体" w:eastAsia="黑体" w:cs="黑体"/>
                <w:color w:val="auto"/>
                <w:sz w:val="15"/>
                <w:szCs w:val="15"/>
                <w:lang w:eastAsia="zh-CN"/>
              </w:rPr>
            </w:pPr>
            <w:r>
              <w:rPr>
                <w:rFonts w:hint="eastAsia" w:ascii="黑体" w:hAnsi="宋体" w:eastAsia="黑体" w:cs="黑体"/>
                <w:color w:val="auto"/>
                <w:sz w:val="15"/>
                <w:szCs w:val="15"/>
                <w:lang w:eastAsia="zh-CN"/>
              </w:rPr>
              <w:t>规格（每瓶容量/质量）</w:t>
            </w:r>
          </w:p>
        </w:tc>
      </w:tr>
      <w:tr w14:paraId="7BC77CC5">
        <w:tblPrEx>
          <w:tblCellMar>
            <w:top w:w="0" w:type="dxa"/>
            <w:left w:w="108" w:type="dxa"/>
            <w:bottom w:w="0" w:type="dxa"/>
            <w:right w:w="108" w:type="dxa"/>
          </w:tblCellMar>
        </w:tblPrEx>
        <w:trPr>
          <w:trHeight w:val="600" w:hRule="atLeast"/>
          <w:jc w:val="center"/>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BC985">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ACD16">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D06B">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A2FF">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02F84">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956A">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F0CC">
            <w:pPr>
              <w:keepNext w:val="0"/>
              <w:keepLines w:val="0"/>
              <w:widowControl/>
              <w:suppressLineNumbers w:val="0"/>
              <w:spacing w:before="0" w:beforeAutospacing="0" w:after="0" w:afterAutospacing="0"/>
              <w:ind w:left="0" w:right="0"/>
              <w:jc w:val="center"/>
              <w:textAlignment w:val="center"/>
              <w:rPr>
                <w:rStyle w:val="31"/>
                <w:rFonts w:hint="eastAsia"/>
                <w:color w:val="auto"/>
                <w:sz w:val="15"/>
                <w:szCs w:val="15"/>
                <w:lang w:eastAsia="zh-CN"/>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399B">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2B92">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r>
      <w:tr w14:paraId="7B355EB1">
        <w:tblPrEx>
          <w:tblCellMar>
            <w:top w:w="0" w:type="dxa"/>
            <w:left w:w="108" w:type="dxa"/>
            <w:bottom w:w="0" w:type="dxa"/>
            <w:right w:w="108" w:type="dxa"/>
          </w:tblCellMar>
        </w:tblPrEx>
        <w:trPr>
          <w:trHeight w:val="600" w:hRule="atLeast"/>
          <w:jc w:val="center"/>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6D92">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0ABA">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E6296">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B08D">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91A2C">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0CF9F">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CE0CA">
            <w:pPr>
              <w:keepNext w:val="0"/>
              <w:keepLines w:val="0"/>
              <w:widowControl/>
              <w:suppressLineNumbers w:val="0"/>
              <w:spacing w:before="0" w:beforeAutospacing="0" w:after="0" w:afterAutospacing="0"/>
              <w:ind w:left="0" w:right="0"/>
              <w:jc w:val="center"/>
              <w:textAlignment w:val="center"/>
              <w:rPr>
                <w:rStyle w:val="31"/>
                <w:rFonts w:hint="eastAsia"/>
                <w:color w:val="auto"/>
                <w:sz w:val="15"/>
                <w:szCs w:val="15"/>
                <w:lang w:eastAsia="zh-CN"/>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56013">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46EF">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color w:val="auto"/>
                <w:sz w:val="15"/>
                <w:szCs w:val="15"/>
                <w:lang w:eastAsia="zh-CN"/>
              </w:rPr>
            </w:pPr>
          </w:p>
        </w:tc>
      </w:tr>
    </w:tbl>
    <w:p w14:paraId="1D7EED90">
      <w:pPr>
        <w:tabs>
          <w:tab w:val="left" w:pos="396"/>
        </w:tabs>
        <w:adjustRightInd w:val="0"/>
        <w:snapToGrid w:val="0"/>
        <w:spacing w:line="360" w:lineRule="auto"/>
        <w:ind w:firstLine="480"/>
        <w:jc w:val="left"/>
        <w:rPr>
          <w:rFonts w:ascii="宋体" w:hAnsi="宋体"/>
          <w:sz w:val="24"/>
        </w:rPr>
      </w:pPr>
      <w:r>
        <w:rPr>
          <w:rFonts w:hint="eastAsia" w:asciiTheme="minorEastAsia" w:hAnsiTheme="minorEastAsia" w:eastAsiaTheme="minorEastAsia"/>
          <w:sz w:val="24"/>
        </w:rPr>
        <w:t xml:space="preserve">   </w:t>
      </w:r>
    </w:p>
    <w:p w14:paraId="0D182259">
      <w:pPr>
        <w:pStyle w:val="17"/>
        <w:ind w:firstLine="480" w:firstLineChars="200"/>
      </w:pPr>
      <w:r>
        <w:rPr>
          <w:rFonts w:hint="eastAsia"/>
        </w:rPr>
        <w:t>2、即交付的产品、服务内容、数量与投标文件、招标文件等所指明的，或者与本合同所指明的产品、服务内容相一致。</w:t>
      </w:r>
    </w:p>
    <w:p w14:paraId="3E484570">
      <w:pPr>
        <w:adjustRightInd w:val="0"/>
        <w:snapToGrid w:val="0"/>
        <w:spacing w:beforeLines="50"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八、项目实施或货物交付地点：采购人指定地点。</w:t>
      </w:r>
    </w:p>
    <w:p w14:paraId="4C8127BC">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九</w:t>
      </w:r>
      <w:r>
        <w:rPr>
          <w:rFonts w:asciiTheme="minorEastAsia" w:hAnsiTheme="minorEastAsia" w:eastAsiaTheme="minorEastAsia" w:cstheme="minorEastAsia"/>
          <w:b/>
          <w:color w:val="auto"/>
          <w:sz w:val="24"/>
        </w:rPr>
        <w:t>、验收标准和方法</w:t>
      </w:r>
    </w:p>
    <w:p w14:paraId="131D2689">
      <w:pPr>
        <w:pStyle w:val="29"/>
        <w:rPr>
          <w:rFonts w:ascii="宋体" w:hAnsi="宋体"/>
          <w:sz w:val="24"/>
        </w:rPr>
      </w:pPr>
      <w:r>
        <w:rPr>
          <w:rFonts w:hint="eastAsia" w:ascii="宋体" w:hAnsi="宋体"/>
          <w:sz w:val="24"/>
        </w:rPr>
        <w:t xml:space="preserve">    ①外观检查：</w:t>
      </w:r>
    </w:p>
    <w:p w14:paraId="62A8BBF8">
      <w:pPr>
        <w:pStyle w:val="29"/>
        <w:ind w:firstLine="484" w:firstLineChars="202"/>
        <w:rPr>
          <w:rFonts w:ascii="宋体" w:hAnsi="宋体"/>
          <w:sz w:val="24"/>
        </w:rPr>
      </w:pPr>
      <w:r>
        <w:rPr>
          <w:rFonts w:hint="eastAsia" w:ascii="宋体" w:hAnsi="宋体"/>
          <w:sz w:val="24"/>
        </w:rPr>
        <w:t>检查外包装是否完好无损，避免因运输过程中的破损、泄露、污染等因素影响标准物质的稳定性。</w:t>
      </w:r>
    </w:p>
    <w:p w14:paraId="28942D86">
      <w:pPr>
        <w:pStyle w:val="29"/>
        <w:ind w:firstLine="484" w:firstLineChars="202"/>
        <w:rPr>
          <w:rFonts w:ascii="宋体" w:hAnsi="宋体"/>
          <w:sz w:val="24"/>
        </w:rPr>
      </w:pPr>
      <w:r>
        <w:rPr>
          <w:rFonts w:hint="eastAsia" w:ascii="宋体" w:hAnsi="宋体"/>
          <w:sz w:val="24"/>
        </w:rPr>
        <w:t>核实包装上是否有明确的警示标签（如易燃、有毒等）、储存条件和注意事项等。</w:t>
      </w:r>
    </w:p>
    <w:p w14:paraId="4EFB3612">
      <w:pPr>
        <w:pStyle w:val="29"/>
        <w:rPr>
          <w:rFonts w:ascii="宋体" w:hAnsi="宋体"/>
          <w:sz w:val="24"/>
        </w:rPr>
      </w:pPr>
      <w:r>
        <w:rPr>
          <w:rFonts w:hint="eastAsia" w:ascii="宋体" w:hAnsi="宋体"/>
          <w:sz w:val="24"/>
        </w:rPr>
        <w:t xml:space="preserve">     ②信息一致性：</w:t>
      </w:r>
    </w:p>
    <w:p w14:paraId="21F1768C">
      <w:pPr>
        <w:pStyle w:val="17"/>
      </w:pPr>
      <w:r>
        <w:rPr>
          <w:rFonts w:hint="eastAsia"/>
        </w:rPr>
        <w:t xml:space="preserve">    对照合同，确认到货的标准物质名称、型号、规格、等级、数量等技术参数及基本信息是否一致。</w:t>
      </w:r>
    </w:p>
    <w:p w14:paraId="6B63F159">
      <w:pPr>
        <w:pStyle w:val="17"/>
      </w:pPr>
      <w:r>
        <w:rPr>
          <w:rFonts w:hint="eastAsia"/>
        </w:rPr>
        <w:t xml:space="preserve">    查看标准物质证书，确认其与实物标签上的信息完全吻合，并且与合同要求一致，包括但不限于：生产厂家信息、生产日期或有效期、浓度、纯度等关键特性参数、稳定性声明、不确定度、溯源性等信息，以及核实证书的有效性和认可机构。</w:t>
      </w:r>
    </w:p>
    <w:p w14:paraId="4250EEC6">
      <w:pPr>
        <w:pStyle w:val="17"/>
      </w:pPr>
      <w:r>
        <w:rPr>
          <w:rFonts w:hint="eastAsia"/>
        </w:rPr>
        <w:t xml:space="preserve">    ③认证文件审查：</w:t>
      </w:r>
    </w:p>
    <w:p w14:paraId="4626A318">
      <w:pPr>
        <w:pStyle w:val="17"/>
      </w:pPr>
      <w:r>
        <w:rPr>
          <w:rFonts w:hint="eastAsia"/>
        </w:rPr>
        <w:t xml:space="preserve">    采购人组织核查随货提供的标准物质证书、溯源证书、使用说明书等技术文档的完整性。供应商确保所提供的文件均为原件且清晰可读，无涂改痕迹。供应商提供的计量标准溯源证书必须真实、有效，并承担因证书不实引发的一切法律责任。</w:t>
      </w:r>
    </w:p>
    <w:p w14:paraId="5EF9003B">
      <w:pPr>
        <w:pStyle w:val="17"/>
      </w:pPr>
      <w:r>
        <w:rPr>
          <w:rFonts w:hint="eastAsia"/>
        </w:rPr>
        <w:t xml:space="preserve">    ④特殊要求验证：</w:t>
      </w:r>
    </w:p>
    <w:p w14:paraId="35EA74C1">
      <w:pPr>
        <w:pStyle w:val="17"/>
      </w:pPr>
      <w:r>
        <w:rPr>
          <w:rFonts w:hint="eastAsia"/>
        </w:rPr>
        <w:t xml:space="preserve">    若采购时有特定的存储条件（如温度、湿度、避光等）或特殊运输要求，应检查供应商是否已按约定执行，并记录运输过程的温湿度监控数据（如干冰、冷链运输时的温度记录）。对于易挥发、易潮解、易变质的标准物质，应检查其密封性及防潮措施是否到位。</w:t>
      </w:r>
    </w:p>
    <w:p w14:paraId="7D311973">
      <w:pPr>
        <w:pStyle w:val="17"/>
      </w:pPr>
      <w:r>
        <w:rPr>
          <w:rFonts w:hint="eastAsia"/>
        </w:rPr>
        <w:t xml:space="preserve">    ⑤样品抽样：</w:t>
      </w:r>
    </w:p>
    <w:p w14:paraId="04F5FE0D">
      <w:pPr>
        <w:pStyle w:val="17"/>
      </w:pPr>
      <w:r>
        <w:rPr>
          <w:rFonts w:hint="eastAsia"/>
        </w:rPr>
        <w:t xml:space="preserve">    根据标准物质特性和实验室规定，可能需要进行开箱抽样检查。抽样时应遵循无菌操作或防止交叉污染的原则。对抽样样品进行初步观察，确认其性状（颜色、气味、形态等）与证书描述相符，无明显异常。</w:t>
      </w:r>
    </w:p>
    <w:p w14:paraId="0F08A011">
      <w:pPr>
        <w:pStyle w:val="17"/>
      </w:pPr>
      <w:r>
        <w:rPr>
          <w:rFonts w:hint="eastAsia"/>
        </w:rPr>
        <w:t xml:space="preserve">    ⑥紧急情况处理：</w:t>
      </w:r>
    </w:p>
    <w:p w14:paraId="4E6BBECE">
      <w:pPr>
        <w:pStyle w:val="17"/>
      </w:pPr>
      <w:r>
        <w:rPr>
          <w:rFonts w:hint="eastAsia"/>
        </w:rPr>
        <w:t xml:space="preserve">    如发现包装破损、泄露、变质等可能导致标准物质失效的情况，供应商应及时进行退换货处理。如发现证书信息错误、缺失或无法验证其有效性，供应商应在规定时间内按要求及时提供正确文件。</w:t>
      </w:r>
    </w:p>
    <w:p w14:paraId="2F5DA294">
      <w:pPr>
        <w:pStyle w:val="17"/>
      </w:pPr>
      <w:r>
        <w:rPr>
          <w:rFonts w:hint="eastAsia"/>
        </w:rPr>
        <w:t xml:space="preserve">    完成验收步骤后，采购人或验收人员应详细记录验收结果及任何异常情况以便存档查看。</w:t>
      </w:r>
    </w:p>
    <w:p w14:paraId="5166EA20">
      <w:pPr>
        <w:pStyle w:val="17"/>
      </w:pPr>
      <w:r>
        <w:rPr>
          <w:rFonts w:hint="eastAsia"/>
        </w:rPr>
        <w:t xml:space="preserve">    若发现供应商弄虚作假，在招投标阶段故意或随意夸大所投产品技术参数、产品性能，或以国产产品冒充进口产品或提供贴牌产品的，供应商应无条件退货，采购方有权单方解除本合同，供应商赔偿采购人所有的损失。同时，采购人有权将供应商违法违规情况向西安市政府采购监督部门通报，并由其依法进行处理。</w:t>
      </w:r>
    </w:p>
    <w:p w14:paraId="1AE96120">
      <w:pPr>
        <w:pStyle w:val="17"/>
      </w:pPr>
      <w:r>
        <w:t>履约验收标准：</w:t>
      </w:r>
    </w:p>
    <w:p w14:paraId="49E15E95">
      <w:pPr>
        <w:pStyle w:val="17"/>
        <w:ind w:firstLine="480" w:firstLineChars="200"/>
      </w:pPr>
      <w:r>
        <w:t>①合同文本；</w:t>
      </w:r>
    </w:p>
    <w:p w14:paraId="2EF2275D">
      <w:pPr>
        <w:pStyle w:val="17"/>
        <w:ind w:firstLine="480" w:firstLineChars="200"/>
      </w:pPr>
      <w:r>
        <w:t>②投标文件及澄清函、招标文件；</w:t>
      </w:r>
    </w:p>
    <w:p w14:paraId="0E33761E">
      <w:pPr>
        <w:pStyle w:val="17"/>
        <w:ind w:firstLine="480" w:firstLineChars="200"/>
      </w:pPr>
      <w:r>
        <w:t>③国家和行业、企业制定的相应标准和规范</w:t>
      </w:r>
      <w:r>
        <w:rPr>
          <w:rFonts w:hint="eastAsia" w:ascii="宋体" w:hAnsi="宋体" w:eastAsia="宋体" w:cs="宋体"/>
          <w:sz w:val="24"/>
          <w:szCs w:val="24"/>
          <w:lang w:val="en-US" w:eastAsia="zh-CN"/>
        </w:rPr>
        <w:t>（若有国家标准、国家计量技术规范，以国家发布的最新技术文件为准，若无国家标准、国家计量技术规范可参考</w:t>
      </w:r>
      <w:r>
        <w:rPr>
          <w:rFonts w:hint="eastAsia" w:ascii="宋体" w:hAnsi="宋体" w:eastAsia="宋体" w:cs="宋体"/>
          <w:sz w:val="24"/>
          <w:szCs w:val="24"/>
          <w:lang w:val="en-US" w:eastAsia="zh-Hans"/>
        </w:rPr>
        <w:t>行业、企业制定的相应标准和规范</w:t>
      </w:r>
      <w:r>
        <w:rPr>
          <w:rFonts w:hint="eastAsia" w:ascii="宋体" w:hAnsi="宋体" w:eastAsia="宋体" w:cs="宋体"/>
          <w:sz w:val="24"/>
          <w:szCs w:val="24"/>
          <w:lang w:val="en-US" w:eastAsia="zh-CN"/>
        </w:rPr>
        <w:t>（上述所列规范标准如有更新，以最新规范标准执行）</w:t>
      </w:r>
      <w:r>
        <w:t>；</w:t>
      </w:r>
    </w:p>
    <w:p w14:paraId="3CEB9DE7">
      <w:pPr>
        <w:pStyle w:val="17"/>
        <w:ind w:firstLine="480" w:firstLineChars="200"/>
      </w:pPr>
      <w:r>
        <w:t>④产品清单（注明品名、数量、规格和原产地或生产厂家，包括部件）。</w:t>
      </w:r>
    </w:p>
    <w:p w14:paraId="12CC29B1">
      <w:pPr>
        <w:adjustRightInd w:val="0"/>
        <w:snapToGrid w:val="0"/>
        <w:spacing w:line="360" w:lineRule="auto"/>
        <w:outlineLvl w:val="0"/>
        <w:rPr>
          <w:rFonts w:hint="eastAsia" w:asciiTheme="minorEastAsia" w:hAnsiTheme="minorEastAsia" w:eastAsiaTheme="minorEastAsia" w:cstheme="minorEastAsia"/>
          <w:b/>
          <w:color w:val="auto"/>
          <w:sz w:val="24"/>
          <w:lang w:eastAsia="zh-CN"/>
        </w:rPr>
      </w:pPr>
      <w:r>
        <w:rPr>
          <w:rFonts w:hint="eastAsia" w:asciiTheme="minorEastAsia" w:hAnsiTheme="minorEastAsia" w:eastAsiaTheme="minorEastAsia" w:cstheme="minorEastAsia"/>
          <w:b/>
          <w:color w:val="auto"/>
          <w:sz w:val="24"/>
        </w:rPr>
        <w:t>十</w:t>
      </w:r>
      <w:r>
        <w:rPr>
          <w:rFonts w:asciiTheme="minorEastAsia" w:hAnsiTheme="minorEastAsia" w:eastAsiaTheme="minorEastAsia" w:cstheme="minorEastAsia"/>
          <w:b/>
          <w:color w:val="auto"/>
          <w:sz w:val="24"/>
        </w:rPr>
        <w:t>、包装</w:t>
      </w:r>
      <w:r>
        <w:rPr>
          <w:rFonts w:hint="eastAsia" w:asciiTheme="minorEastAsia" w:hAnsiTheme="minorEastAsia" w:eastAsiaTheme="minorEastAsia" w:cstheme="minorEastAsia"/>
          <w:b/>
          <w:color w:val="auto"/>
          <w:sz w:val="24"/>
          <w:lang w:eastAsia="zh-CN"/>
        </w:rPr>
        <w:t>、</w:t>
      </w:r>
      <w:r>
        <w:rPr>
          <w:rFonts w:asciiTheme="minorEastAsia" w:hAnsiTheme="minorEastAsia" w:eastAsiaTheme="minorEastAsia" w:cstheme="minorEastAsia"/>
          <w:b/>
          <w:color w:val="auto"/>
          <w:sz w:val="24"/>
        </w:rPr>
        <w:t>运输</w:t>
      </w:r>
      <w:r>
        <w:rPr>
          <w:rFonts w:hint="eastAsia" w:asciiTheme="minorEastAsia" w:hAnsiTheme="minorEastAsia" w:eastAsiaTheme="minorEastAsia" w:cstheme="minorEastAsia"/>
          <w:b/>
          <w:color w:val="auto"/>
          <w:sz w:val="24"/>
          <w:lang w:eastAsia="zh-CN"/>
        </w:rPr>
        <w:t>及回收等要求</w:t>
      </w:r>
    </w:p>
    <w:p w14:paraId="71F6C3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1、运输：运杂费一次包死在总价内，包括并不限于生产厂到施工现场所需的装卸、运输（含保险费）、现场保管费、二次倒运费、吊装费等费用；</w:t>
      </w:r>
    </w:p>
    <w:p w14:paraId="312A4A5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2、供应商负责标准物质、试剂、气瓶等的运输及回收，以及安全阀门检验、气瓶管路安装等内容，必须符合国家对运输、回收等的相关要求，由此产生的所有费用及责任均由供应商承担；</w:t>
      </w:r>
    </w:p>
    <w:p w14:paraId="5A10BD06">
      <w:pPr>
        <w:pStyle w:val="17"/>
        <w:ind w:firstLine="480" w:firstLineChars="200"/>
      </w:pPr>
      <w:r>
        <w:rPr>
          <w:rFonts w:hint="eastAsia" w:ascii="宋体" w:hAnsi="宋体" w:eastAsia="宋体" w:cs="宋体"/>
          <w:sz w:val="24"/>
          <w:szCs w:val="24"/>
          <w:lang w:val="en-US" w:eastAsia="zh-CN"/>
        </w:rPr>
        <w:t>3、包装：产品包装应采取防潮、防晒、防腐蚀、防震动及防止其他损坏的必要措施。供应商应承担由于其包装或防护措施不妥而引起的货物锈蚀、损坏和丢失等任何损失造成的责任或费用；</w:t>
      </w:r>
    </w:p>
    <w:p w14:paraId="75776C67">
      <w:pPr>
        <w:pStyle w:val="17"/>
        <w:ind w:firstLine="480" w:firstLineChars="200"/>
      </w:pPr>
      <w:r>
        <w:rPr>
          <w:rFonts w:hint="eastAsia"/>
          <w:lang w:val="en-US" w:eastAsia="zh-CN"/>
        </w:rPr>
        <w:t>4</w:t>
      </w:r>
      <w:r>
        <w:rPr>
          <w:rFonts w:hint="eastAsia"/>
        </w:rPr>
        <w:t>、供应商应对</w:t>
      </w:r>
      <w:r>
        <w:t>包装</w:t>
      </w:r>
      <w:r>
        <w:rPr>
          <w:rFonts w:hint="eastAsia"/>
        </w:rPr>
        <w:t>及</w:t>
      </w:r>
      <w:r>
        <w:t>运输</w:t>
      </w:r>
      <w:r>
        <w:rPr>
          <w:rFonts w:hint="eastAsia"/>
        </w:rPr>
        <w:t>等实施过程的安全负责，如发生人身伤亡、财产损失的由供应商负责解决并承担全部责任及费用；</w:t>
      </w:r>
    </w:p>
    <w:p w14:paraId="427B1531">
      <w:pPr>
        <w:pStyle w:val="17"/>
        <w:ind w:firstLine="480" w:firstLineChars="200"/>
      </w:pPr>
      <w:r>
        <w:rPr>
          <w:rFonts w:hint="eastAsia"/>
          <w:lang w:val="en-US" w:eastAsia="zh-CN"/>
        </w:rPr>
        <w:t>5</w:t>
      </w:r>
      <w:r>
        <w:rPr>
          <w:rFonts w:hint="eastAsia"/>
        </w:rPr>
        <w:t>、所有产品在</w:t>
      </w:r>
      <w:r>
        <w:t>包装</w:t>
      </w:r>
      <w:r>
        <w:rPr>
          <w:rFonts w:hint="eastAsia"/>
        </w:rPr>
        <w:t>及</w:t>
      </w:r>
      <w:r>
        <w:t>运输</w:t>
      </w:r>
      <w:r>
        <w:rPr>
          <w:rFonts w:hint="eastAsia"/>
        </w:rPr>
        <w:t>的过程中，造成采购人损失的，由供应商承担全部责任并赔偿费用；</w:t>
      </w:r>
    </w:p>
    <w:p w14:paraId="02958D8E">
      <w:pPr>
        <w:pStyle w:val="17"/>
        <w:ind w:firstLine="480" w:firstLineChars="200"/>
      </w:pPr>
      <w:r>
        <w:rPr>
          <w:rFonts w:hint="eastAsia"/>
          <w:lang w:val="en-US" w:eastAsia="zh-CN"/>
        </w:rPr>
        <w:t>6</w:t>
      </w:r>
      <w:r>
        <w:rPr>
          <w:rFonts w:hint="eastAsia"/>
        </w:rPr>
        <w:t>、合同所约定的货物在交付采购人验收合格前的风险由供应商承担，采购人承担验收合格接收后的风险。</w:t>
      </w:r>
    </w:p>
    <w:p w14:paraId="54C224A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十一、培训</w:t>
      </w:r>
    </w:p>
    <w:p w14:paraId="3A1AEE00">
      <w:pPr>
        <w:pStyle w:val="17"/>
      </w:pPr>
      <w:r>
        <w:rPr>
          <w:rFonts w:hint="eastAsia"/>
        </w:rPr>
        <w:t xml:space="preserve">    1、至少包括产品使用操作、保养、维修等培训内容。在投入使用前，供应商应按采购人要求免费培训技术人员若干名，培训服务以受培训人员熟练掌握相应技能为原则；</w:t>
      </w:r>
    </w:p>
    <w:p w14:paraId="3FF05988">
      <w:pPr>
        <w:pStyle w:val="17"/>
      </w:pPr>
      <w:r>
        <w:rPr>
          <w:rFonts w:hint="eastAsia"/>
        </w:rPr>
        <w:t xml:space="preserve">    2、产品需在培训基地培训的，供应商应按要求履行，采购人指派人员因参加培训所产生的交通费、食宿费、培训费等均由供应商承担；</w:t>
      </w:r>
    </w:p>
    <w:p w14:paraId="7EB1F3F0">
      <w:pPr>
        <w:pStyle w:val="17"/>
      </w:pPr>
      <w:r>
        <w:rPr>
          <w:rFonts w:hint="eastAsia"/>
        </w:rPr>
        <w:t xml:space="preserve">    3、供应商应提供书面培训记录，并经受培训人员签字确认。</w:t>
      </w:r>
    </w:p>
    <w:p w14:paraId="2C36C9A6">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十二、技术资料</w:t>
      </w:r>
    </w:p>
    <w:p w14:paraId="4136BB0E">
      <w:pPr>
        <w:pStyle w:val="17"/>
      </w:pPr>
      <w:r>
        <w:rPr>
          <w:rFonts w:hint="eastAsia"/>
        </w:rPr>
        <w:t xml:space="preserve">    供应商应向采购人提供全套中文技术资料一套，其费用包括在合同总价款中：</w:t>
      </w:r>
    </w:p>
    <w:p w14:paraId="5E9E122E">
      <w:pPr>
        <w:pStyle w:val="17"/>
      </w:pPr>
      <w:r>
        <w:rPr>
          <w:rFonts w:hint="eastAsia"/>
        </w:rPr>
        <w:t xml:space="preserve">    1、完整的产品使用手册、说明书和技术文件、图纸、保修卡等；</w:t>
      </w:r>
    </w:p>
    <w:p w14:paraId="239A3671">
      <w:pPr>
        <w:pStyle w:val="17"/>
      </w:pPr>
      <w:r>
        <w:rPr>
          <w:rFonts w:hint="eastAsia"/>
        </w:rPr>
        <w:t xml:space="preserve">    2、制造厂的检验、测试报告、产品检验合格证书</w:t>
      </w:r>
      <w:r>
        <w:rPr>
          <w:rFonts w:hint="eastAsia"/>
          <w:lang w:eastAsia="zh-CN"/>
        </w:rPr>
        <w:t>、国家标物证书、溯源证书</w:t>
      </w:r>
      <w:r>
        <w:rPr>
          <w:rFonts w:hint="eastAsia"/>
        </w:rPr>
        <w:t>等；</w:t>
      </w:r>
    </w:p>
    <w:p w14:paraId="140E32D4">
      <w:pPr>
        <w:pStyle w:val="17"/>
      </w:pPr>
      <w:r>
        <w:rPr>
          <w:rFonts w:hint="eastAsia"/>
        </w:rPr>
        <w:t xml:space="preserve">    3、产品的执行标准；</w:t>
      </w:r>
    </w:p>
    <w:p w14:paraId="6304BB5A">
      <w:pPr>
        <w:pStyle w:val="17"/>
      </w:pPr>
      <w:r>
        <w:rPr>
          <w:rFonts w:hint="eastAsia"/>
        </w:rPr>
        <w:t xml:space="preserve">    </w:t>
      </w:r>
      <w:r>
        <w:rPr>
          <w:rFonts w:hint="eastAsia"/>
          <w:lang w:val="en-US" w:eastAsia="zh-CN"/>
        </w:rPr>
        <w:t>4</w:t>
      </w:r>
      <w:r>
        <w:rPr>
          <w:rFonts w:hint="eastAsia"/>
        </w:rPr>
        <w:t>、其他文件资料等。</w:t>
      </w:r>
    </w:p>
    <w:p w14:paraId="5C9C1D6B">
      <w:pPr>
        <w:adjustRightInd w:val="0"/>
        <w:snapToGrid w:val="0"/>
        <w:spacing w:line="360" w:lineRule="auto"/>
        <w:outlineLvl w:val="0"/>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十三、质量保证</w:t>
      </w:r>
    </w:p>
    <w:p w14:paraId="58E732A6">
      <w:pPr>
        <w:pStyle w:val="17"/>
        <w:keepLines w:val="0"/>
        <w:pageBreakBefore w:val="0"/>
        <w:numPr>
          <w:ilvl w:val="0"/>
          <w:numId w:val="0"/>
        </w:numPr>
        <w:wordWrap/>
        <w:overflowPunct/>
        <w:topLinePunct w:val="0"/>
        <w:bidi w:val="0"/>
        <w:spacing w:line="360" w:lineRule="auto"/>
        <w:ind w:left="120" w:leftChars="0" w:firstLine="482" w:firstLineChars="200"/>
        <w:textAlignment w:val="auto"/>
        <w:outlineLvl w:val="3"/>
        <w:rPr>
          <w:rFonts w:hint="default" w:asciiTheme="minorEastAsia" w:hAnsi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rPr>
        <w:t>质保期：</w:t>
      </w:r>
      <w:r>
        <w:rPr>
          <w:rFonts w:hint="eastAsia" w:asciiTheme="minorEastAsia" w:hAnsiTheme="minorEastAsia" w:cstheme="minorEastAsia"/>
          <w:b/>
          <w:sz w:val="24"/>
          <w:szCs w:val="24"/>
          <w:highlight w:val="none"/>
          <w:lang w:val="en-US" w:eastAsia="zh-CN"/>
        </w:rPr>
        <w:t>不小于证书有效期。</w:t>
      </w:r>
    </w:p>
    <w:p w14:paraId="6023EB6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①</w:t>
      </w:r>
      <w:r>
        <w:rPr>
          <w:rFonts w:hint="eastAsia" w:ascii="宋体" w:hAnsi="宋体" w:eastAsia="宋体" w:cs="宋体"/>
          <w:b/>
          <w:bCs/>
          <w:sz w:val="24"/>
          <w:szCs w:val="24"/>
          <w:lang w:val="en-US" w:eastAsia="zh-CN"/>
        </w:rPr>
        <w:t>有效期：所有</w:t>
      </w:r>
      <w:r>
        <w:rPr>
          <w:rFonts w:hint="eastAsia" w:ascii="宋体" w:hAnsi="宋体" w:eastAsia="宋体" w:cs="宋体"/>
          <w:b/>
          <w:bCs/>
          <w:sz w:val="24"/>
          <w:szCs w:val="24"/>
          <w:lang w:eastAsia="zh-CN"/>
        </w:rPr>
        <w:t>产品到货时证书剩余有效期不得少于产品有效期的三分之二</w:t>
      </w:r>
      <w:r>
        <w:rPr>
          <w:rFonts w:hint="eastAsia" w:ascii="宋体" w:hAnsi="宋体" w:eastAsia="宋体" w:cs="宋体"/>
          <w:b/>
          <w:bCs/>
          <w:sz w:val="24"/>
          <w:szCs w:val="24"/>
          <w:lang w:val="en-US" w:eastAsia="zh-CN"/>
        </w:rPr>
        <w:t>。</w:t>
      </w:r>
    </w:p>
    <w:p w14:paraId="3EA4D9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lang w:val="en-US" w:eastAsia="zh-CN"/>
        </w:rPr>
        <w:t>证书有效期</w:t>
      </w:r>
      <w:r>
        <w:rPr>
          <w:rFonts w:hint="eastAsia" w:ascii="宋体" w:hAnsi="宋体" w:eastAsia="宋体" w:cs="宋体"/>
          <w:sz w:val="24"/>
          <w:szCs w:val="24"/>
        </w:rPr>
        <w:t>内出现质量问题，供应商应按采购人的要求免费更换，响应时间≤2小时，产生的所有费用均由供应商承担。</w:t>
      </w:r>
    </w:p>
    <w:p w14:paraId="38379522">
      <w:pPr>
        <w:pStyle w:val="29"/>
        <w:ind w:firstLine="480" w:firstLineChars="200"/>
        <w:rPr>
          <w:rFonts w:asciiTheme="minorEastAsia" w:hAnsiTheme="minorEastAsia" w:eastAsiaTheme="minorEastAsia" w:cstheme="minorEastAsia"/>
          <w:bCs/>
          <w:color w:val="auto"/>
          <w:sz w:val="24"/>
          <w:highlight w:val="none"/>
        </w:rPr>
      </w:pPr>
      <w:r>
        <w:rPr>
          <w:rFonts w:hint="eastAsia" w:ascii="宋体" w:hAnsi="宋体" w:eastAsia="宋体" w:cs="宋体"/>
          <w:sz w:val="24"/>
          <w:szCs w:val="24"/>
          <w:lang w:eastAsia="zh-CN"/>
        </w:rPr>
        <w:t>③</w:t>
      </w:r>
      <w:r>
        <w:rPr>
          <w:rFonts w:hint="eastAsia" w:ascii="宋体" w:hAnsi="宋体" w:eastAsia="宋体" w:cs="宋体"/>
          <w:sz w:val="24"/>
          <w:szCs w:val="24"/>
        </w:rPr>
        <w:t>若问题在24小时内无法排除时，供应商必须向采购人提供书面报告，包括问题原因及分析、处理措施、解决时间。</w:t>
      </w:r>
    </w:p>
    <w:p w14:paraId="7CBAC625">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十四</w:t>
      </w:r>
      <w:r>
        <w:rPr>
          <w:rFonts w:asciiTheme="minorEastAsia" w:hAnsiTheme="minorEastAsia" w:eastAsiaTheme="minorEastAsia" w:cstheme="minorEastAsia"/>
          <w:b/>
          <w:color w:val="auto"/>
          <w:sz w:val="24"/>
        </w:rPr>
        <w:t>、</w:t>
      </w:r>
      <w:r>
        <w:rPr>
          <w:rFonts w:hint="eastAsia" w:asciiTheme="minorEastAsia" w:hAnsiTheme="minorEastAsia" w:eastAsiaTheme="minorEastAsia" w:cstheme="minorEastAsia"/>
          <w:b/>
          <w:color w:val="auto"/>
          <w:sz w:val="24"/>
        </w:rPr>
        <w:t>售后服务（提供售后服务承诺书）</w:t>
      </w:r>
    </w:p>
    <w:p w14:paraId="14B30C72">
      <w:pPr>
        <w:pStyle w:val="18"/>
        <w:adjustRightInd w:val="0"/>
        <w:snapToGrid w:val="0"/>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1、供应商应提供可承担质保职能的售后服务地点、联系人（常驻工程师）及联系电话（服务热线），随时解答各种疑问、提供技术支持；</w:t>
      </w:r>
    </w:p>
    <w:p w14:paraId="408EA5D9">
      <w:pPr>
        <w:pStyle w:val="18"/>
        <w:adjustRightInd w:val="0"/>
        <w:snapToGrid w:val="0"/>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服务方式：现场＋远程服务。响应时间为全年7×24小时。</w:t>
      </w:r>
    </w:p>
    <w:p w14:paraId="74FF6AA0">
      <w:pPr>
        <w:pStyle w:val="18"/>
        <w:adjustRightInd w:val="0"/>
        <w:snapToGrid w:val="0"/>
        <w:jc w:val="left"/>
        <w:outlineLvl w:val="9"/>
        <w:rPr>
          <w:sz w:val="24"/>
        </w:rPr>
      </w:pPr>
      <w:r>
        <w:rPr>
          <w:rFonts w:hint="eastAsia" w:asciiTheme="minorEastAsia" w:hAnsiTheme="minorEastAsia" w:eastAsiaTheme="minorEastAsia" w:cstheme="minorEastAsia"/>
          <w:bCs/>
          <w:color w:val="auto"/>
          <w:sz w:val="24"/>
        </w:rPr>
        <w:t xml:space="preserve">    2、</w:t>
      </w:r>
      <w:r>
        <w:rPr>
          <w:rFonts w:hint="eastAsia"/>
          <w:sz w:val="24"/>
        </w:rPr>
        <w:t>所提供的服务内容应严格按照国家最新发布的规范标准执行，符合采购人的理念及要求，如发生质量问题由供应商承担全部责任；</w:t>
      </w:r>
    </w:p>
    <w:p w14:paraId="5DF845EA">
      <w:pPr>
        <w:pStyle w:val="17"/>
      </w:pPr>
      <w:r>
        <w:rPr>
          <w:rFonts w:hint="eastAsia"/>
        </w:rPr>
        <w:t xml:space="preserve">    3、维保期以中标供应商的投标文件为准。</w:t>
      </w:r>
    </w:p>
    <w:p w14:paraId="06F491E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十五、保密</w:t>
      </w:r>
    </w:p>
    <w:p w14:paraId="2B343917">
      <w:pPr>
        <w:pStyle w:val="17"/>
      </w:pPr>
      <w:r>
        <w:rPr>
          <w:rFonts w:hint="eastAsia"/>
        </w:rPr>
        <w:t xml:space="preserve">    供应商须严格保密对工作中了解到的采购人的技术、机密等信息，不得向他人泄漏。本合同的解除或终止不免除供应商应承担的保密义务。</w:t>
      </w:r>
    </w:p>
    <w:p w14:paraId="0BDCD4F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十六、知识产权</w:t>
      </w:r>
    </w:p>
    <w:p w14:paraId="69364326">
      <w:pPr>
        <w:pStyle w:val="17"/>
      </w:pPr>
      <w:r>
        <w:rPr>
          <w:rFonts w:hint="eastAsia"/>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0CA95093">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十七、双方承诺</w:t>
      </w:r>
    </w:p>
    <w:p w14:paraId="44E1F4CC">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1、供应商向采购人承诺，按照本合同约定提供相关产品和服务；</w:t>
      </w:r>
    </w:p>
    <w:p w14:paraId="452D0215">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2、采购人向供应商承诺，按照本合同约定支付相关款项。</w:t>
      </w:r>
    </w:p>
    <w:p w14:paraId="159D4384">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十</w:t>
      </w:r>
      <w:r>
        <w:rPr>
          <w:rFonts w:hint="eastAsia" w:asciiTheme="minorEastAsia" w:hAnsiTheme="minorEastAsia" w:eastAsiaTheme="minorEastAsia" w:cstheme="minorEastAsia"/>
          <w:b/>
          <w:color w:val="auto"/>
          <w:sz w:val="24"/>
        </w:rPr>
        <w:t>八</w:t>
      </w:r>
      <w:r>
        <w:rPr>
          <w:rFonts w:asciiTheme="minorEastAsia" w:hAnsiTheme="minorEastAsia" w:eastAsiaTheme="minorEastAsia" w:cstheme="minorEastAsia"/>
          <w:b/>
          <w:color w:val="auto"/>
          <w:sz w:val="24"/>
        </w:rPr>
        <w:t>、违约责任</w:t>
      </w:r>
    </w:p>
    <w:p w14:paraId="221C598D">
      <w:pPr>
        <w:pStyle w:val="18"/>
        <w:adjustRightInd w:val="0"/>
        <w:snapToGrid w:val="0"/>
        <w:jc w:val="left"/>
        <w:outlineLvl w:val="9"/>
        <w:rPr>
          <w:rFonts w:asciiTheme="minorEastAsia" w:hAnsiTheme="minorEastAsia" w:eastAsiaTheme="minorEastAsia"/>
          <w:sz w:val="24"/>
        </w:rPr>
      </w:pPr>
      <w:r>
        <w:rPr>
          <w:rFonts w:hint="eastAsia" w:asciiTheme="minorEastAsia" w:hAnsiTheme="minorEastAsia" w:eastAsiaTheme="minorEastAsia"/>
          <w:sz w:val="24"/>
        </w:rPr>
        <w:t xml:space="preserve">    1、按《中华人民共和国政府采购法》、《中华人民共和国民法典》中的相关条款和本合同约定执行；</w:t>
      </w:r>
    </w:p>
    <w:p w14:paraId="1D7BBA92">
      <w:pPr>
        <w:pStyle w:val="18"/>
        <w:adjustRightInd w:val="0"/>
        <w:snapToGrid w:val="0"/>
        <w:jc w:val="left"/>
        <w:outlineLvl w:val="9"/>
        <w:rPr>
          <w:rFonts w:asciiTheme="minorEastAsia" w:hAnsiTheme="minorEastAsia" w:eastAsiaTheme="minorEastAsia"/>
          <w:sz w:val="24"/>
        </w:rPr>
      </w:pPr>
      <w:r>
        <w:rPr>
          <w:rFonts w:hint="eastAsia" w:asciiTheme="minorEastAsia" w:hAnsiTheme="minorEastAsia" w:eastAsiaTheme="minorEastAsia"/>
          <w:sz w:val="24"/>
        </w:rPr>
        <w:t xml:space="preserve">    2、供应商履约延误：</w:t>
      </w:r>
    </w:p>
    <w:p w14:paraId="626C47BB">
      <w:pPr>
        <w:pStyle w:val="18"/>
        <w:adjustRightInd w:val="0"/>
        <w:snapToGrid w:val="0"/>
        <w:outlineLvl w:val="9"/>
        <w:rPr>
          <w:rFonts w:asciiTheme="minorEastAsia" w:hAnsiTheme="minorEastAsia" w:eastAsiaTheme="minorEastAsia"/>
          <w:sz w:val="24"/>
        </w:rPr>
      </w:pPr>
      <w:r>
        <w:rPr>
          <w:rFonts w:hint="eastAsia" w:cs="宋体" w:asciiTheme="minorEastAsia" w:hAnsiTheme="minorEastAsia" w:eastAsiaTheme="minorEastAsia"/>
          <w:bCs/>
          <w:sz w:val="24"/>
        </w:rPr>
        <w:t xml:space="preserve">    ①</w:t>
      </w:r>
      <w:r>
        <w:rPr>
          <w:rFonts w:hint="eastAsia" w:asciiTheme="minorEastAsia" w:hAnsiTheme="minorEastAsia" w:eastAsiaTheme="minorEastAsia"/>
          <w:sz w:val="24"/>
        </w:rPr>
        <w:t>如供应商事先未征得采购人同意并未得到采购人的谅解而单方面延迟交货，将按违约终止合同；</w:t>
      </w:r>
    </w:p>
    <w:p w14:paraId="1540A386">
      <w:pPr>
        <w:pStyle w:val="17"/>
      </w:pPr>
      <w:r>
        <w:rPr>
          <w:rFonts w:hint="eastAsia" w:cs="宋体"/>
        </w:rPr>
        <w:t xml:space="preserve">    ②</w:t>
      </w:r>
      <w:r>
        <w:rPr>
          <w:rFonts w:hint="eastAsia"/>
        </w:rPr>
        <w:t>在履行合同过程中，如因供应商责任而造成延期交货，采购人可在合同未付款中直接扣除延期交货的违约金，每延期交货一天按合同总价款的1%向采购人支付违约金，该违约金由采购人在应支付货款中直接扣除，供应商对此无任何异议；</w:t>
      </w:r>
    </w:p>
    <w:p w14:paraId="39B0E58B">
      <w:pPr>
        <w:pStyle w:val="17"/>
      </w:pPr>
      <w:r>
        <w:rPr>
          <w:rFonts w:hint="eastAsia"/>
        </w:rPr>
        <w:t xml:space="preserve">    3、如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14:paraId="082F6A2B">
      <w:pPr>
        <w:pStyle w:val="18"/>
        <w:adjustRightInd w:val="0"/>
        <w:snapToGrid w:val="0"/>
        <w:ind w:firstLine="480" w:firstLineChars="200"/>
        <w:outlineLvl w:val="9"/>
      </w:pPr>
      <w:r>
        <w:rPr>
          <w:rFonts w:hint="eastAsia" w:asciiTheme="minorEastAsia" w:hAnsiTheme="minorEastAsia" w:eastAsiaTheme="minorEastAsia"/>
          <w:sz w:val="24"/>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27C13710">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十九、合同争议的解决</w:t>
      </w:r>
    </w:p>
    <w:p w14:paraId="31361177">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合同执行中发生争议的，当事人双方应协商解决，协商达不成一致时，可向采购人所在地人民法院提请诉讼。</w:t>
      </w:r>
    </w:p>
    <w:p w14:paraId="61E9AFFF">
      <w:pPr>
        <w:adjustRightInd w:val="0"/>
        <w:snapToGrid w:val="0"/>
        <w:spacing w:line="360" w:lineRule="auto"/>
        <w:jc w:val="left"/>
        <w:outlineLvl w:val="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二十、不可抗力情况下的免责约定</w:t>
      </w:r>
    </w:p>
    <w:p w14:paraId="2BE74F46">
      <w:pPr>
        <w:adjustRightInd w:val="0"/>
        <w:snapToGrid w:val="0"/>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双方约定不可抗力情况指：双方不可预见、不可避免、不可克服的客观情况，但不包括双方的违约或疏忽。这些事件包括：战争、严重火灾、洪水、台风、地震等。</w:t>
      </w:r>
    </w:p>
    <w:p w14:paraId="44762FDC">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二十一、合同订立</w:t>
      </w:r>
    </w:p>
    <w:p w14:paraId="44D24F34">
      <w:pPr>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1、订立时间：      年  </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sz w:val="24"/>
        </w:rPr>
        <w:t>月  日</w:t>
      </w:r>
    </w:p>
    <w:p w14:paraId="4ECD2AE4">
      <w:pPr>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2、订立地点：</w:t>
      </w:r>
      <w:r>
        <w:rPr>
          <w:rFonts w:hint="eastAsia" w:cs="宋体" w:asciiTheme="minorEastAsia" w:hAnsiTheme="minorEastAsia" w:eastAsiaTheme="minorEastAsia"/>
          <w:sz w:val="24"/>
          <w:u w:val="single"/>
        </w:rPr>
        <w:t xml:space="preserve">  西安计量技术研究院  </w:t>
      </w:r>
    </w:p>
    <w:p w14:paraId="26D7FA2F">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3、本合同一式</w:t>
      </w:r>
      <w:r>
        <w:rPr>
          <w:rFonts w:hint="eastAsia" w:cs="宋体" w:asciiTheme="minorEastAsia" w:hAnsiTheme="minorEastAsia" w:eastAsiaTheme="minorEastAsia"/>
          <w:b/>
          <w:sz w:val="24"/>
          <w:u w:val="single"/>
        </w:rPr>
        <w:t>陆</w:t>
      </w:r>
      <w:r>
        <w:rPr>
          <w:rFonts w:hint="eastAsia" w:cs="宋体" w:asciiTheme="minorEastAsia" w:hAnsiTheme="minorEastAsia" w:eastAsiaTheme="minorEastAsia"/>
          <w:sz w:val="24"/>
        </w:rPr>
        <w:t>份，采供双方各执</w:t>
      </w:r>
      <w:r>
        <w:rPr>
          <w:rFonts w:hint="eastAsia" w:cs="宋体" w:asciiTheme="minorEastAsia" w:hAnsiTheme="minorEastAsia" w:eastAsiaTheme="minorEastAsia"/>
          <w:b/>
          <w:sz w:val="24"/>
          <w:u w:val="single"/>
        </w:rPr>
        <w:t>叁</w:t>
      </w:r>
      <w:r>
        <w:rPr>
          <w:rFonts w:hint="eastAsia" w:cs="宋体" w:asciiTheme="minorEastAsia" w:hAnsiTheme="minorEastAsia" w:eastAsiaTheme="minorEastAsia"/>
          <w:sz w:val="24"/>
        </w:rPr>
        <w:t>份。各方法定代表人或者授权代理人签字并盖章后生效，合同执行完毕自动失效。（合同的服务承诺长期有效）；</w:t>
      </w:r>
    </w:p>
    <w:p w14:paraId="03479645">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4、除本合同约定，合同一经签订，不得擅自变更、中止或者终止合同。对确需变更、调整或者中止、终止合同的，应按规定履行相应的手续或签订补充协议。</w:t>
      </w:r>
    </w:p>
    <w:p w14:paraId="10D5D345">
      <w:pPr>
        <w:tabs>
          <w:tab w:val="left" w:pos="980"/>
        </w:tabs>
        <w:kinsoku w:val="0"/>
        <w:adjustRightInd w:val="0"/>
        <w:snapToGrid w:val="0"/>
        <w:spacing w:line="360" w:lineRule="auto"/>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   （以下无正文）</w:t>
      </w:r>
    </w:p>
    <w:p w14:paraId="36157B51">
      <w:pPr>
        <w:tabs>
          <w:tab w:val="left" w:pos="980"/>
        </w:tabs>
        <w:kinsoku w:val="0"/>
        <w:spacing w:line="360" w:lineRule="auto"/>
        <w:jc w:val="left"/>
        <w:rPr>
          <w:rFonts w:ascii="仿宋_GB2312" w:hAnsi="宋体" w:eastAsia="仿宋_GB2312" w:cs="宋体"/>
          <w:sz w:val="24"/>
        </w:rPr>
      </w:pPr>
    </w:p>
    <w:p w14:paraId="1D48F540">
      <w:pPr>
        <w:tabs>
          <w:tab w:val="left" w:pos="4111"/>
        </w:tabs>
        <w:adjustRightInd w:val="0"/>
        <w:snapToGrid w:val="0"/>
        <w:spacing w:line="360" w:lineRule="auto"/>
        <w:jc w:val="left"/>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b/>
          <w:szCs w:val="21"/>
        </w:rPr>
        <w:t>采购人</w:t>
      </w:r>
      <w:r>
        <w:rPr>
          <w:rFonts w:hint="eastAsia" w:cs="宋体" w:asciiTheme="minorEastAsia" w:hAnsiTheme="minorEastAsia" w:eastAsiaTheme="minorEastAsia"/>
          <w:szCs w:val="21"/>
        </w:rPr>
        <w:t>（公章）：</w:t>
      </w:r>
      <w:r>
        <w:rPr>
          <w:rFonts w:hint="eastAsia" w:cs="宋体" w:asciiTheme="minorEastAsia" w:hAnsiTheme="minorEastAsia" w:eastAsiaTheme="minorEastAsia"/>
          <w:szCs w:val="21"/>
          <w:u w:val="single"/>
        </w:rPr>
        <w:t xml:space="preserve">西安计量技术研究院 </w:t>
      </w:r>
      <w:r>
        <w:rPr>
          <w:rFonts w:hint="eastAsia" w:cs="宋体" w:asciiTheme="minorEastAsia" w:hAnsiTheme="minorEastAsia" w:eastAsiaTheme="minorEastAsia"/>
          <w:szCs w:val="21"/>
        </w:rPr>
        <w:t xml:space="preserve"> </w:t>
      </w:r>
      <w:r>
        <w:rPr>
          <w:rFonts w:hint="eastAsia" w:cs="宋体" w:asciiTheme="minorEastAsia" w:hAnsiTheme="minorEastAsia" w:eastAsiaTheme="minorEastAsia"/>
          <w:szCs w:val="21"/>
        </w:rPr>
        <w:tab/>
      </w:r>
      <w:r>
        <w:rPr>
          <w:rFonts w:hint="eastAsia" w:cs="宋体" w:asciiTheme="minorEastAsia" w:hAnsiTheme="minorEastAsia" w:eastAsiaTheme="minorEastAsia"/>
          <w:b/>
          <w:szCs w:val="21"/>
        </w:rPr>
        <w:t>供应商</w:t>
      </w:r>
      <w:r>
        <w:rPr>
          <w:rFonts w:hint="eastAsia" w:cs="宋体" w:asciiTheme="minorEastAsia" w:hAnsiTheme="minorEastAsia" w:eastAsiaTheme="minorEastAsia"/>
          <w:szCs w:val="21"/>
        </w:rPr>
        <w:t>（公章）：</w:t>
      </w:r>
      <w:r>
        <w:rPr>
          <w:rFonts w:hint="eastAsia" w:cs="宋体" w:asciiTheme="minorEastAsia" w:hAnsiTheme="minorEastAsia" w:eastAsiaTheme="minorEastAsia"/>
          <w:szCs w:val="21"/>
          <w:u w:val="single"/>
          <w:lang w:val="en-US" w:eastAsia="zh-CN"/>
        </w:rPr>
        <w:t xml:space="preserve">                  </w:t>
      </w:r>
    </w:p>
    <w:p w14:paraId="01F7A175">
      <w:pPr>
        <w:tabs>
          <w:tab w:val="left" w:pos="4111"/>
        </w:tabs>
        <w:adjustRightInd w:val="0"/>
        <w:snapToGrid w:val="0"/>
        <w:spacing w:line="360" w:lineRule="auto"/>
        <w:jc w:val="left"/>
        <w:rPr>
          <w:rFonts w:cs="宋体" w:asciiTheme="minorEastAsia" w:hAnsiTheme="minorEastAsia" w:eastAsiaTheme="minorEastAsia"/>
          <w:szCs w:val="21"/>
        </w:rPr>
      </w:pPr>
      <w:r>
        <w:rPr>
          <w:rFonts w:hint="eastAsia" w:cs="宋体" w:asciiTheme="minorEastAsia" w:hAnsiTheme="minorEastAsia" w:eastAsiaTheme="minorEastAsia"/>
          <w:szCs w:val="21"/>
        </w:rPr>
        <w:t>地址：</w:t>
      </w:r>
      <w:r>
        <w:rPr>
          <w:rFonts w:hint="eastAsia" w:cs="宋体" w:asciiTheme="minorEastAsia" w:hAnsiTheme="minorEastAsia" w:eastAsiaTheme="minorEastAsia"/>
          <w:szCs w:val="21"/>
          <w:u w:val="single"/>
          <w:lang w:val="en-US" w:eastAsia="zh-CN"/>
        </w:rPr>
        <w:t xml:space="preserve">                          </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ab/>
      </w:r>
      <w:r>
        <w:rPr>
          <w:rFonts w:hint="eastAsia" w:cs="宋体" w:asciiTheme="minorEastAsia" w:hAnsiTheme="minorEastAsia" w:eastAsiaTheme="minorEastAsia"/>
          <w:szCs w:val="21"/>
        </w:rPr>
        <w:t>地址：</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p w14:paraId="71546C78">
      <w:pPr>
        <w:tabs>
          <w:tab w:val="left" w:pos="4111"/>
        </w:tabs>
        <w:adjustRightInd w:val="0"/>
        <w:snapToGrid w:val="0"/>
        <w:spacing w:line="360" w:lineRule="auto"/>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法定代表人或                        </w:t>
      </w:r>
      <w:r>
        <w:rPr>
          <w:rFonts w:hint="eastAsia" w:cs="宋体" w:asciiTheme="minorEastAsia" w:hAnsiTheme="minorEastAsia" w:eastAsiaTheme="minorEastAsia"/>
          <w:szCs w:val="21"/>
        </w:rPr>
        <w:tab/>
      </w:r>
      <w:r>
        <w:rPr>
          <w:rFonts w:hint="eastAsia" w:cs="宋体" w:asciiTheme="minorEastAsia" w:hAnsiTheme="minorEastAsia" w:eastAsiaTheme="minorEastAsia"/>
          <w:szCs w:val="21"/>
        </w:rPr>
        <w:t>法定代表人或</w:t>
      </w:r>
    </w:p>
    <w:p w14:paraId="699CD731">
      <w:pPr>
        <w:tabs>
          <w:tab w:val="left" w:pos="4111"/>
        </w:tabs>
        <w:adjustRightInd w:val="0"/>
        <w:snapToGrid w:val="0"/>
        <w:spacing w:line="360" w:lineRule="auto"/>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委托代理人（签字）：                 </w:t>
      </w:r>
      <w:r>
        <w:rPr>
          <w:rFonts w:hint="eastAsia" w:cs="宋体" w:asciiTheme="minorEastAsia" w:hAnsiTheme="minorEastAsia" w:eastAsiaTheme="minorEastAsia"/>
          <w:szCs w:val="21"/>
        </w:rPr>
        <w:tab/>
      </w:r>
      <w:r>
        <w:rPr>
          <w:rFonts w:hint="eastAsia" w:cs="宋体" w:asciiTheme="minorEastAsia" w:hAnsiTheme="minorEastAsia" w:eastAsiaTheme="minorEastAsia"/>
          <w:szCs w:val="21"/>
        </w:rPr>
        <w:t>委托代理人（签字）：</w:t>
      </w:r>
    </w:p>
    <w:p w14:paraId="49149056">
      <w:pPr>
        <w:tabs>
          <w:tab w:val="left" w:pos="4111"/>
        </w:tabs>
        <w:adjustRightInd w:val="0"/>
        <w:snapToGrid w:val="0"/>
        <w:spacing w:line="360" w:lineRule="auto"/>
        <w:jc w:val="left"/>
        <w:rPr>
          <w:rFonts w:cs="宋体" w:asciiTheme="minorEastAsia" w:hAnsiTheme="minorEastAsia" w:eastAsiaTheme="minorEastAsia"/>
          <w:szCs w:val="21"/>
          <w:u w:val="single"/>
        </w:rPr>
      </w:pPr>
      <w:r>
        <w:rPr>
          <w:rFonts w:hint="eastAsia" w:cs="宋体" w:asciiTheme="minorEastAsia" w:hAnsiTheme="minorEastAsia" w:eastAsiaTheme="minorEastAsia"/>
          <w:szCs w:val="21"/>
        </w:rPr>
        <w:t>电话：</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u w:val="single"/>
          <w:lang w:val="en-US" w:eastAsia="zh-CN"/>
        </w:rPr>
        <w:t xml:space="preserve">              </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 xml:space="preserve">    电话：</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u w:val="single"/>
          <w:lang w:val="en-US" w:eastAsia="zh-CN"/>
        </w:rPr>
        <w:t xml:space="preserve"> </w:t>
      </w:r>
      <w:r>
        <w:rPr>
          <w:rFonts w:hint="eastAsia" w:cs="宋体" w:asciiTheme="minorEastAsia" w:hAnsiTheme="minorEastAsia" w:eastAsiaTheme="minorEastAsia"/>
          <w:szCs w:val="21"/>
          <w:u w:val="single"/>
        </w:rPr>
        <w:t xml:space="preserve">                               </w:t>
      </w:r>
    </w:p>
    <w:p w14:paraId="3FEBC2CA">
      <w:pPr>
        <w:tabs>
          <w:tab w:val="left" w:pos="4111"/>
        </w:tabs>
        <w:adjustRightInd w:val="0"/>
        <w:snapToGrid w:val="0"/>
        <w:spacing w:line="360" w:lineRule="auto"/>
        <w:jc w:val="left"/>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日期：      年   月   日             </w:t>
      </w:r>
      <w:r>
        <w:rPr>
          <w:rFonts w:hint="eastAsia" w:cs="宋体" w:asciiTheme="minorEastAsia" w:hAnsiTheme="minorEastAsia" w:eastAsiaTheme="minorEastAsia"/>
          <w:szCs w:val="21"/>
        </w:rPr>
        <w:tab/>
      </w:r>
      <w:r>
        <w:rPr>
          <w:rFonts w:hint="eastAsia" w:cs="宋体" w:asciiTheme="minorEastAsia" w:hAnsiTheme="minorEastAsia" w:eastAsiaTheme="minorEastAsia"/>
          <w:szCs w:val="21"/>
        </w:rPr>
        <w:t>日期：      年   月   日</w:t>
      </w:r>
    </w:p>
    <w:p w14:paraId="7A79BB86">
      <w:pPr>
        <w:adjustRightInd w:val="0"/>
        <w:snapToGrid w:val="0"/>
        <w:spacing w:line="360" w:lineRule="auto"/>
        <w:jc w:val="left"/>
        <w:rPr>
          <w:rFonts w:cs="宋体" w:asciiTheme="minorEastAsia" w:hAnsiTheme="minorEastAsia" w:eastAsiaTheme="minorEastAsia"/>
          <w:szCs w:val="21"/>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D77E0">
    <w:pPr>
      <w:pStyle w:val="9"/>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5FF2C58">
                <w:pPr>
                  <w:pStyle w:val="9"/>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21</w:t>
                </w:r>
                <w:r>
                  <w:fldChar w:fldCharType="end"/>
                </w:r>
                <w: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YzNjJjYjdlZjcxMjc4ODU1ZjU3ZmNkYzA3N2NjNmIifQ=="/>
  </w:docVars>
  <w:rsids>
    <w:rsidRoot w:val="000D339A"/>
    <w:rsid w:val="000140C4"/>
    <w:rsid w:val="000141A9"/>
    <w:rsid w:val="0001538E"/>
    <w:rsid w:val="00015D8B"/>
    <w:rsid w:val="00033516"/>
    <w:rsid w:val="00044E73"/>
    <w:rsid w:val="0005488C"/>
    <w:rsid w:val="000576BF"/>
    <w:rsid w:val="00064915"/>
    <w:rsid w:val="000670F1"/>
    <w:rsid w:val="00080C65"/>
    <w:rsid w:val="00083894"/>
    <w:rsid w:val="000D0B47"/>
    <w:rsid w:val="000D339A"/>
    <w:rsid w:val="000D4A8D"/>
    <w:rsid w:val="000F2C2B"/>
    <w:rsid w:val="0010655C"/>
    <w:rsid w:val="00107A87"/>
    <w:rsid w:val="00112319"/>
    <w:rsid w:val="00133933"/>
    <w:rsid w:val="00144513"/>
    <w:rsid w:val="00153CA9"/>
    <w:rsid w:val="00157524"/>
    <w:rsid w:val="001948BB"/>
    <w:rsid w:val="00197C02"/>
    <w:rsid w:val="001B457C"/>
    <w:rsid w:val="001B49E8"/>
    <w:rsid w:val="001C2331"/>
    <w:rsid w:val="001E6A4F"/>
    <w:rsid w:val="001F729F"/>
    <w:rsid w:val="00216947"/>
    <w:rsid w:val="00217AEA"/>
    <w:rsid w:val="002271F6"/>
    <w:rsid w:val="00233C77"/>
    <w:rsid w:val="0024391D"/>
    <w:rsid w:val="00260527"/>
    <w:rsid w:val="00286F47"/>
    <w:rsid w:val="00290C45"/>
    <w:rsid w:val="00295562"/>
    <w:rsid w:val="002A1E4D"/>
    <w:rsid w:val="002A217D"/>
    <w:rsid w:val="002A5855"/>
    <w:rsid w:val="002C0772"/>
    <w:rsid w:val="002D2FDB"/>
    <w:rsid w:val="002D685F"/>
    <w:rsid w:val="002F427A"/>
    <w:rsid w:val="002F46FF"/>
    <w:rsid w:val="00302ECD"/>
    <w:rsid w:val="003124F7"/>
    <w:rsid w:val="003205A6"/>
    <w:rsid w:val="003276A7"/>
    <w:rsid w:val="003340C6"/>
    <w:rsid w:val="00334BF0"/>
    <w:rsid w:val="00351777"/>
    <w:rsid w:val="00354578"/>
    <w:rsid w:val="0036673E"/>
    <w:rsid w:val="00366771"/>
    <w:rsid w:val="0037495B"/>
    <w:rsid w:val="0037690D"/>
    <w:rsid w:val="003C0404"/>
    <w:rsid w:val="003E1940"/>
    <w:rsid w:val="004148D4"/>
    <w:rsid w:val="00417106"/>
    <w:rsid w:val="004252E4"/>
    <w:rsid w:val="0046593C"/>
    <w:rsid w:val="00472C9B"/>
    <w:rsid w:val="004A6B17"/>
    <w:rsid w:val="004A7651"/>
    <w:rsid w:val="004C601B"/>
    <w:rsid w:val="004E6565"/>
    <w:rsid w:val="004F3D26"/>
    <w:rsid w:val="00537764"/>
    <w:rsid w:val="0054476A"/>
    <w:rsid w:val="005550B2"/>
    <w:rsid w:val="00571FFF"/>
    <w:rsid w:val="005736B0"/>
    <w:rsid w:val="005B14E2"/>
    <w:rsid w:val="005C4BE0"/>
    <w:rsid w:val="005E4BF1"/>
    <w:rsid w:val="005E7A51"/>
    <w:rsid w:val="005F03B2"/>
    <w:rsid w:val="005F7D57"/>
    <w:rsid w:val="00603D5F"/>
    <w:rsid w:val="0060530A"/>
    <w:rsid w:val="0061177C"/>
    <w:rsid w:val="006127B3"/>
    <w:rsid w:val="00625131"/>
    <w:rsid w:val="00632908"/>
    <w:rsid w:val="0064654F"/>
    <w:rsid w:val="006508FA"/>
    <w:rsid w:val="00656EDB"/>
    <w:rsid w:val="0066231E"/>
    <w:rsid w:val="0067144C"/>
    <w:rsid w:val="006759DB"/>
    <w:rsid w:val="0068455E"/>
    <w:rsid w:val="00691244"/>
    <w:rsid w:val="006953D5"/>
    <w:rsid w:val="006959D4"/>
    <w:rsid w:val="006A3320"/>
    <w:rsid w:val="006A50C7"/>
    <w:rsid w:val="006B6B35"/>
    <w:rsid w:val="006C019A"/>
    <w:rsid w:val="006E6FC9"/>
    <w:rsid w:val="006F6617"/>
    <w:rsid w:val="00701CF2"/>
    <w:rsid w:val="00746160"/>
    <w:rsid w:val="00762527"/>
    <w:rsid w:val="00762B70"/>
    <w:rsid w:val="00780320"/>
    <w:rsid w:val="007B093E"/>
    <w:rsid w:val="007C1F9D"/>
    <w:rsid w:val="007C52C5"/>
    <w:rsid w:val="007C6D03"/>
    <w:rsid w:val="007D289E"/>
    <w:rsid w:val="007D7C04"/>
    <w:rsid w:val="007E7306"/>
    <w:rsid w:val="00805719"/>
    <w:rsid w:val="00822E4C"/>
    <w:rsid w:val="00832950"/>
    <w:rsid w:val="0083535A"/>
    <w:rsid w:val="008460B1"/>
    <w:rsid w:val="00851225"/>
    <w:rsid w:val="008530BD"/>
    <w:rsid w:val="00855A0C"/>
    <w:rsid w:val="00861A0C"/>
    <w:rsid w:val="00862F4C"/>
    <w:rsid w:val="0086561C"/>
    <w:rsid w:val="0087038E"/>
    <w:rsid w:val="00872AE3"/>
    <w:rsid w:val="00886FF8"/>
    <w:rsid w:val="008B486E"/>
    <w:rsid w:val="008C251A"/>
    <w:rsid w:val="008F2640"/>
    <w:rsid w:val="008F5EC3"/>
    <w:rsid w:val="008F7C93"/>
    <w:rsid w:val="009001B6"/>
    <w:rsid w:val="00905502"/>
    <w:rsid w:val="00905D20"/>
    <w:rsid w:val="009157DC"/>
    <w:rsid w:val="00922D65"/>
    <w:rsid w:val="0093068C"/>
    <w:rsid w:val="00932F48"/>
    <w:rsid w:val="009377C6"/>
    <w:rsid w:val="0094320B"/>
    <w:rsid w:val="009453FC"/>
    <w:rsid w:val="009577AB"/>
    <w:rsid w:val="009809B1"/>
    <w:rsid w:val="0099093B"/>
    <w:rsid w:val="009B1B64"/>
    <w:rsid w:val="009B253F"/>
    <w:rsid w:val="009B53B6"/>
    <w:rsid w:val="009C1E8F"/>
    <w:rsid w:val="009D4DC1"/>
    <w:rsid w:val="009F4135"/>
    <w:rsid w:val="00A012F3"/>
    <w:rsid w:val="00A125EF"/>
    <w:rsid w:val="00A72B55"/>
    <w:rsid w:val="00A74A84"/>
    <w:rsid w:val="00A76193"/>
    <w:rsid w:val="00A77BB0"/>
    <w:rsid w:val="00A94310"/>
    <w:rsid w:val="00AA0150"/>
    <w:rsid w:val="00AC49BD"/>
    <w:rsid w:val="00AD14E7"/>
    <w:rsid w:val="00AE0166"/>
    <w:rsid w:val="00AE4720"/>
    <w:rsid w:val="00B32013"/>
    <w:rsid w:val="00B37751"/>
    <w:rsid w:val="00B42DB0"/>
    <w:rsid w:val="00B54321"/>
    <w:rsid w:val="00B57C64"/>
    <w:rsid w:val="00B63EA2"/>
    <w:rsid w:val="00B700CF"/>
    <w:rsid w:val="00B937A7"/>
    <w:rsid w:val="00B97C45"/>
    <w:rsid w:val="00BA0225"/>
    <w:rsid w:val="00BA2939"/>
    <w:rsid w:val="00BC1703"/>
    <w:rsid w:val="00BE4234"/>
    <w:rsid w:val="00BE6540"/>
    <w:rsid w:val="00C00E38"/>
    <w:rsid w:val="00C06770"/>
    <w:rsid w:val="00C2100E"/>
    <w:rsid w:val="00C27710"/>
    <w:rsid w:val="00C31EC8"/>
    <w:rsid w:val="00C61809"/>
    <w:rsid w:val="00C73D3A"/>
    <w:rsid w:val="00C75F74"/>
    <w:rsid w:val="00C93AF0"/>
    <w:rsid w:val="00CA7D5A"/>
    <w:rsid w:val="00CB2ADD"/>
    <w:rsid w:val="00CB5BB8"/>
    <w:rsid w:val="00CF2414"/>
    <w:rsid w:val="00CF2B47"/>
    <w:rsid w:val="00D16FAC"/>
    <w:rsid w:val="00D21765"/>
    <w:rsid w:val="00D373F7"/>
    <w:rsid w:val="00D413E2"/>
    <w:rsid w:val="00D46C95"/>
    <w:rsid w:val="00D61FAD"/>
    <w:rsid w:val="00D77118"/>
    <w:rsid w:val="00D9641A"/>
    <w:rsid w:val="00DA189A"/>
    <w:rsid w:val="00DA5ED5"/>
    <w:rsid w:val="00DE57B2"/>
    <w:rsid w:val="00DF7E18"/>
    <w:rsid w:val="00E04CF1"/>
    <w:rsid w:val="00E1345A"/>
    <w:rsid w:val="00E14D05"/>
    <w:rsid w:val="00E7117F"/>
    <w:rsid w:val="00E86743"/>
    <w:rsid w:val="00E86A79"/>
    <w:rsid w:val="00E87046"/>
    <w:rsid w:val="00ED0750"/>
    <w:rsid w:val="00ED1D27"/>
    <w:rsid w:val="00EE35E2"/>
    <w:rsid w:val="00F040C5"/>
    <w:rsid w:val="00F102C8"/>
    <w:rsid w:val="00F20AFB"/>
    <w:rsid w:val="00F219FE"/>
    <w:rsid w:val="00F2285F"/>
    <w:rsid w:val="00F408E0"/>
    <w:rsid w:val="00F572DB"/>
    <w:rsid w:val="00F7348E"/>
    <w:rsid w:val="00F76098"/>
    <w:rsid w:val="00F9700F"/>
    <w:rsid w:val="00FB73D7"/>
    <w:rsid w:val="00FB7839"/>
    <w:rsid w:val="00FD1F18"/>
    <w:rsid w:val="00FD4431"/>
    <w:rsid w:val="00FE646F"/>
    <w:rsid w:val="00FF0320"/>
    <w:rsid w:val="014D28C9"/>
    <w:rsid w:val="02A4476B"/>
    <w:rsid w:val="09EA33AB"/>
    <w:rsid w:val="0F7A6F8E"/>
    <w:rsid w:val="0FDA30AA"/>
    <w:rsid w:val="120945EA"/>
    <w:rsid w:val="12E0359D"/>
    <w:rsid w:val="157004D3"/>
    <w:rsid w:val="15D335B9"/>
    <w:rsid w:val="18A62B93"/>
    <w:rsid w:val="18B92634"/>
    <w:rsid w:val="1CC161ED"/>
    <w:rsid w:val="217A2E0F"/>
    <w:rsid w:val="21FE57EE"/>
    <w:rsid w:val="23526D43"/>
    <w:rsid w:val="28285372"/>
    <w:rsid w:val="29746395"/>
    <w:rsid w:val="298E06A0"/>
    <w:rsid w:val="2E233D62"/>
    <w:rsid w:val="31903F88"/>
    <w:rsid w:val="33E64529"/>
    <w:rsid w:val="39096AFA"/>
    <w:rsid w:val="3C145CE9"/>
    <w:rsid w:val="3D463317"/>
    <w:rsid w:val="3F1C2352"/>
    <w:rsid w:val="3F854138"/>
    <w:rsid w:val="418331C2"/>
    <w:rsid w:val="42450447"/>
    <w:rsid w:val="451F07A9"/>
    <w:rsid w:val="452C57DA"/>
    <w:rsid w:val="465E7BAC"/>
    <w:rsid w:val="471A0479"/>
    <w:rsid w:val="4820176A"/>
    <w:rsid w:val="4B577B99"/>
    <w:rsid w:val="535C1B08"/>
    <w:rsid w:val="53DD0E57"/>
    <w:rsid w:val="59B60181"/>
    <w:rsid w:val="5A250D18"/>
    <w:rsid w:val="5E2F61C8"/>
    <w:rsid w:val="613029F8"/>
    <w:rsid w:val="662F2E8C"/>
    <w:rsid w:val="68802085"/>
    <w:rsid w:val="68F23CD8"/>
    <w:rsid w:val="6AD77F57"/>
    <w:rsid w:val="6F9F7FC4"/>
    <w:rsid w:val="730613D9"/>
    <w:rsid w:val="74C32577"/>
    <w:rsid w:val="76760624"/>
    <w:rsid w:val="77B834D7"/>
    <w:rsid w:val="791505C8"/>
    <w:rsid w:val="7B0A68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3">
    <w:name w:val="heading 3"/>
    <w:basedOn w:val="1"/>
    <w:next w:val="1"/>
    <w:link w:val="22"/>
    <w:autoRedefine/>
    <w:qFormat/>
    <w:uiPriority w:val="0"/>
    <w:pPr>
      <w:keepNext/>
      <w:spacing w:beforeLines="200" w:line="400" w:lineRule="exact"/>
      <w:jc w:val="center"/>
      <w:outlineLvl w:val="2"/>
    </w:pPr>
    <w:rPr>
      <w:b/>
      <w:bCs/>
      <w:kern w:val="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spacing w:line="300" w:lineRule="auto"/>
      <w:ind w:firstLine="420" w:firstLineChars="200"/>
    </w:pPr>
    <w:rPr>
      <w:kern w:val="2"/>
    </w:rPr>
  </w:style>
  <w:style w:type="paragraph" w:styleId="5">
    <w:name w:val="toc 4"/>
    <w:basedOn w:val="1"/>
    <w:next w:val="1"/>
    <w:autoRedefine/>
    <w:unhideWhenUsed/>
    <w:qFormat/>
    <w:uiPriority w:val="39"/>
    <w:pPr>
      <w:ind w:left="1260" w:leftChars="600"/>
    </w:pPr>
  </w:style>
  <w:style w:type="paragraph" w:styleId="6">
    <w:name w:val="Document Map"/>
    <w:basedOn w:val="1"/>
    <w:link w:val="19"/>
    <w:qFormat/>
    <w:uiPriority w:val="0"/>
    <w:rPr>
      <w:rFonts w:ascii="宋体"/>
      <w:sz w:val="18"/>
      <w:szCs w:val="18"/>
    </w:rPr>
  </w:style>
  <w:style w:type="paragraph" w:styleId="7">
    <w:name w:val="Body Text"/>
    <w:basedOn w:val="1"/>
    <w:next w:val="1"/>
    <w:link w:val="23"/>
    <w:qFormat/>
    <w:uiPriority w:val="0"/>
    <w:pPr>
      <w:spacing w:after="120" w:line="360" w:lineRule="auto"/>
    </w:pPr>
    <w:rPr>
      <w:rFonts w:asciiTheme="minorHAnsi" w:hAnsiTheme="minorHAnsi" w:eastAsiaTheme="minorEastAsia" w:cstheme="minorBidi"/>
    </w:rPr>
  </w:style>
  <w:style w:type="paragraph" w:styleId="8">
    <w:name w:val="Balloon Text"/>
    <w:basedOn w:val="1"/>
    <w:link w:val="30"/>
    <w:qFormat/>
    <w:uiPriority w:val="0"/>
    <w:rPr>
      <w:sz w:val="18"/>
      <w:szCs w:val="18"/>
    </w:r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6"/>
    <w:basedOn w:val="1"/>
    <w:next w:val="1"/>
    <w:autoRedefine/>
    <w:unhideWhenUsed/>
    <w:qFormat/>
    <w:uiPriority w:val="39"/>
    <w:pPr>
      <w:ind w:left="2100" w:leftChars="1000"/>
    </w:pPr>
  </w:style>
  <w:style w:type="paragraph" w:styleId="13">
    <w:name w:val="Normal (Web)"/>
    <w:basedOn w:val="1"/>
    <w:autoRedefine/>
    <w:qFormat/>
    <w:uiPriority w:val="0"/>
    <w:pPr>
      <w:widowControl/>
      <w:spacing w:beforeAutospacing="1" w:afterAutospacing="1"/>
      <w:jc w:val="left"/>
    </w:pPr>
    <w:rPr>
      <w:rFonts w:ascii="宋体" w:hAnsi="宋体"/>
      <w:sz w:val="24"/>
    </w:rPr>
  </w:style>
  <w:style w:type="paragraph" w:styleId="14">
    <w:name w:val="Body Text First Indent"/>
    <w:basedOn w:val="7"/>
    <w:next w:val="12"/>
    <w:link w:val="24"/>
    <w:autoRedefine/>
    <w:unhideWhenUsed/>
    <w:qFormat/>
    <w:uiPriority w:val="0"/>
    <w:pPr>
      <w:spacing w:after="0" w:line="240" w:lineRule="auto"/>
      <w:ind w:firstLine="420" w:firstLineChars="100"/>
    </w:pPr>
    <w:rPr>
      <w:rFonts w:ascii="Times New Roman" w:hAnsi="Times New Roman" w:eastAsia="宋体" w:cs="Times New Roman"/>
      <w:color w:val="auto"/>
      <w:kern w:val="2"/>
      <w:sz w:val="18"/>
      <w:szCs w:val="18"/>
    </w:rPr>
  </w:style>
  <w:style w:type="paragraph" w:customStyle="1" w:styleId="17">
    <w:name w:val="null3"/>
    <w:autoRedefine/>
    <w:hidden/>
    <w:qFormat/>
    <w:uiPriority w:val="0"/>
    <w:pPr>
      <w:widowControl w:val="0"/>
      <w:tabs>
        <w:tab w:val="left" w:pos="284"/>
      </w:tabs>
      <w:adjustRightInd w:val="0"/>
      <w:snapToGrid w:val="0"/>
      <w:spacing w:line="360" w:lineRule="auto"/>
    </w:pPr>
    <w:rPr>
      <w:rFonts w:asciiTheme="minorEastAsia" w:hAnsiTheme="minorEastAsia" w:eastAsiaTheme="minorEastAsia" w:cstheme="minorEastAsia"/>
      <w:bCs/>
      <w:sz w:val="24"/>
      <w:szCs w:val="24"/>
      <w:lang w:val="en-US" w:eastAsia="zh-CN" w:bidi="ar-SA"/>
    </w:rPr>
  </w:style>
  <w:style w:type="paragraph" w:customStyle="1" w:styleId="18">
    <w:name w:val="正文缩进1"/>
    <w:basedOn w:val="1"/>
    <w:autoRedefine/>
    <w:qFormat/>
    <w:uiPriority w:val="0"/>
    <w:pPr>
      <w:spacing w:line="360" w:lineRule="auto"/>
      <w:outlineLvl w:val="0"/>
    </w:pPr>
  </w:style>
  <w:style w:type="character" w:customStyle="1" w:styleId="19">
    <w:name w:val="文档结构图 Char"/>
    <w:basedOn w:val="16"/>
    <w:link w:val="6"/>
    <w:qFormat/>
    <w:uiPriority w:val="0"/>
    <w:rPr>
      <w:rFonts w:ascii="宋体" w:hAnsi="Times New Roman" w:eastAsia="宋体" w:cs="Times New Roman"/>
      <w:color w:val="000000"/>
      <w:sz w:val="18"/>
      <w:szCs w:val="18"/>
    </w:rPr>
  </w:style>
  <w:style w:type="character" w:customStyle="1" w:styleId="20">
    <w:name w:val="页眉 Char"/>
    <w:basedOn w:val="16"/>
    <w:link w:val="10"/>
    <w:qFormat/>
    <w:uiPriority w:val="0"/>
    <w:rPr>
      <w:rFonts w:ascii="Times New Roman" w:hAnsi="Times New Roman" w:eastAsia="宋体" w:cs="Times New Roman"/>
      <w:color w:val="000000"/>
      <w:sz w:val="18"/>
      <w:szCs w:val="18"/>
    </w:rPr>
  </w:style>
  <w:style w:type="character" w:customStyle="1" w:styleId="21">
    <w:name w:val="页脚 Char"/>
    <w:basedOn w:val="16"/>
    <w:link w:val="9"/>
    <w:qFormat/>
    <w:uiPriority w:val="0"/>
    <w:rPr>
      <w:rFonts w:ascii="Times New Roman" w:hAnsi="Times New Roman" w:eastAsia="宋体" w:cs="Times New Roman"/>
      <w:color w:val="000000"/>
      <w:sz w:val="18"/>
      <w:szCs w:val="18"/>
    </w:rPr>
  </w:style>
  <w:style w:type="character" w:customStyle="1" w:styleId="22">
    <w:name w:val="标题 3 Char"/>
    <w:basedOn w:val="16"/>
    <w:link w:val="3"/>
    <w:qFormat/>
    <w:uiPriority w:val="0"/>
    <w:rPr>
      <w:b/>
      <w:bCs/>
      <w:color w:val="000000"/>
      <w:kern w:val="2"/>
      <w:sz w:val="21"/>
      <w:szCs w:val="24"/>
    </w:rPr>
  </w:style>
  <w:style w:type="character" w:customStyle="1" w:styleId="23">
    <w:name w:val="正文文本 Char"/>
    <w:basedOn w:val="16"/>
    <w:link w:val="7"/>
    <w:qFormat/>
    <w:uiPriority w:val="0"/>
    <w:rPr>
      <w:rFonts w:asciiTheme="minorHAnsi" w:hAnsiTheme="minorHAnsi" w:eastAsiaTheme="minorEastAsia" w:cstheme="minorBidi"/>
      <w:color w:val="000000"/>
      <w:sz w:val="21"/>
      <w:szCs w:val="24"/>
    </w:rPr>
  </w:style>
  <w:style w:type="character" w:customStyle="1" w:styleId="24">
    <w:name w:val="正文首行缩进 Char"/>
    <w:basedOn w:val="23"/>
    <w:link w:val="14"/>
    <w:qFormat/>
    <w:uiPriority w:val="0"/>
  </w:style>
  <w:style w:type="paragraph" w:customStyle="1" w:styleId="25">
    <w:name w:val="Table Text"/>
    <w:basedOn w:val="1"/>
    <w:autoRedefine/>
    <w:semiHidden/>
    <w:qFormat/>
    <w:uiPriority w:val="0"/>
    <w:rPr>
      <w:rFonts w:ascii="宋体" w:hAnsi="宋体" w:cs="宋体"/>
      <w:sz w:val="24"/>
      <w:lang w:eastAsia="en-US"/>
    </w:rPr>
  </w:style>
  <w:style w:type="table" w:customStyle="1" w:styleId="26">
    <w:name w:val="Table Normal"/>
    <w:autoRedefine/>
    <w:semiHidden/>
    <w:unhideWhenUsed/>
    <w:qFormat/>
    <w:uiPriority w:val="0"/>
    <w:tblPr>
      <w:tblCellMar>
        <w:top w:w="0" w:type="dxa"/>
        <w:left w:w="0" w:type="dxa"/>
        <w:bottom w:w="0" w:type="dxa"/>
        <w:right w:w="0" w:type="dxa"/>
      </w:tblCellMar>
    </w:tblPr>
  </w:style>
  <w:style w:type="paragraph" w:customStyle="1" w:styleId="27">
    <w:name w:val="表格文字中"/>
    <w:basedOn w:val="1"/>
    <w:autoRedefine/>
    <w:qFormat/>
    <w:uiPriority w:val="0"/>
    <w:pPr>
      <w:adjustRightInd w:val="0"/>
      <w:snapToGrid w:val="0"/>
      <w:ind w:left="22" w:leftChars="8"/>
      <w:jc w:val="center"/>
    </w:pPr>
  </w:style>
  <w:style w:type="paragraph" w:customStyle="1" w:styleId="28">
    <w:name w:val="WPSOffice手动目录 1"/>
    <w:autoRedefine/>
    <w:qFormat/>
    <w:uiPriority w:val="0"/>
    <w:rPr>
      <w:rFonts w:ascii="Times New Roman" w:hAnsi="Times New Roman" w:eastAsia="宋体" w:cs="Times New Roman"/>
      <w:lang w:val="en-US" w:eastAsia="zh-CN" w:bidi="ar-SA"/>
    </w:rPr>
  </w:style>
  <w:style w:type="paragraph" w:styleId="29">
    <w:name w:val="List Paragraph"/>
    <w:basedOn w:val="1"/>
    <w:autoRedefine/>
    <w:qFormat/>
    <w:uiPriority w:val="34"/>
    <w:pPr>
      <w:adjustRightInd w:val="0"/>
      <w:snapToGrid w:val="0"/>
      <w:spacing w:line="360" w:lineRule="auto"/>
      <w:jc w:val="left"/>
    </w:pPr>
  </w:style>
  <w:style w:type="character" w:customStyle="1" w:styleId="30">
    <w:name w:val="批注框文本 Char"/>
    <w:basedOn w:val="16"/>
    <w:link w:val="8"/>
    <w:uiPriority w:val="0"/>
    <w:rPr>
      <w:color w:val="000000"/>
      <w:sz w:val="18"/>
      <w:szCs w:val="18"/>
    </w:rPr>
  </w:style>
  <w:style w:type="character" w:customStyle="1" w:styleId="31">
    <w:name w:val="font31"/>
    <w:basedOn w:val="1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4594</Words>
  <Characters>6906</Characters>
  <Lines>104</Lines>
  <Paragraphs>29</Paragraphs>
  <TotalTime>0</TotalTime>
  <ScaleCrop>false</ScaleCrop>
  <LinksUpToDate>false</LinksUpToDate>
  <CharactersWithSpaces>7239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2024-10-22T02:50:00Z</dcterms:created>
  <dc:creator>Lenovo</dc:creator>
  <cp:lastModifiedBy>aredin</cp:lastModifiedBy>
  <dcterms:modified xsi:type="dcterms:W3CDTF">2025-04-25T07:21:11Z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46A3144452C24A29972F65C2D55732DC_12</vt:lpwstr>
  </property>
  <property fmtid="{D5CDD505-2E9C-101B-9397-08002B2CF9AE}" pid="4" name="KSOTemplateDocerSaveRecord">
    <vt:lpwstr>eyJoZGlkIjoiM2YzNjJjYjdlZjcxMjc4ODU1ZjU3ZmNkYzA3N2NjNmIiLCJ1c2VySWQiOiI1OTk2MzAyODcifQ==</vt:lpwstr>
  </property>
</Properties>
</file>