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版本号：ZDGC-ZC-250112120250718002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西安市机动车污染物监测项目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ZDGC-ZC-2501121</w:t>
      </w:r>
      <w:r>
        <w:br/>
      </w:r>
      <w:r>
        <w:br/>
      </w:r>
      <w:r>
        <w:br/>
      </w:r>
    </w:p>
    <w:p>
      <w:pPr>
        <w:pStyle w:val="null3"/>
        <w:jc w:val="center"/>
        <w:outlineLvl w:val="2"/>
      </w:pPr>
      <w:r>
        <w:rPr>
          <w:rFonts w:ascii="仿宋_GB2312" w:hAnsi="仿宋_GB2312" w:cs="仿宋_GB2312" w:eastAsia="仿宋_GB2312"/>
          <w:sz w:val="28"/>
          <w:b/>
        </w:rPr>
        <w:t>西安市智慧环保综合指挥中心</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西安市智慧环保综合指挥中心</w:t>
      </w:r>
      <w:r>
        <w:rPr>
          <w:rFonts w:ascii="仿宋_GB2312" w:hAnsi="仿宋_GB2312" w:cs="仿宋_GB2312" w:eastAsia="仿宋_GB2312"/>
        </w:rPr>
        <w:t>委托，拟对</w:t>
      </w:r>
      <w:r>
        <w:rPr>
          <w:rFonts w:ascii="仿宋_GB2312" w:hAnsi="仿宋_GB2312" w:cs="仿宋_GB2312" w:eastAsia="仿宋_GB2312"/>
        </w:rPr>
        <w:t>西安市机动车污染物监测项目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ZDGC-ZC-2501121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西安市机动车污染物监测项目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对道路上行驶的各类机动车按照《在用柴油车排气污染物测量方法及技术要求（遥感检测法）》（HJ845-2017）监测排放的一氧化碳、二氧化碳、碳氢化合物、氮氧化物、烟度等污染物体积浓度。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采购包1（西安市机动车污染物监测项目）：属于专门面向中小企业采购。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2023年度或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p>
      <w:pPr>
        <w:pStyle w:val="null3"/>
      </w:pPr>
      <w:r>
        <w:rPr>
          <w:rFonts w:ascii="仿宋_GB2312" w:hAnsi="仿宋_GB2312" w:cs="仿宋_GB2312" w:eastAsia="仿宋_GB2312"/>
        </w:rPr>
        <w:t>3、税收缴纳证明：供应商提供开标前一年内任意一个月已缴纳的税收缴纳凭证或完税证明；依法免税单位的应提供相关文件证明。</w:t>
      </w:r>
    </w:p>
    <w:p>
      <w:pPr>
        <w:pStyle w:val="null3"/>
      </w:pPr>
      <w:r>
        <w:rPr>
          <w:rFonts w:ascii="仿宋_GB2312" w:hAnsi="仿宋_GB2312" w:cs="仿宋_GB2312" w:eastAsia="仿宋_GB2312"/>
        </w:rPr>
        <w:t>4、社会保障资金缴纳证明：供应商提供开标前一年内任意一个月已缴纳的社会保障资金缴存单据或社保机构开具的社会保险参保缴费情况证明；依法不需要缴纳社会保障资金的应提供相关文件证明。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信用记录：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8、法定代表人授权委托书：法定代表人参加磋商的，须提供法人身份证明和本人身份证复印件；法定代表人授权他人参加磋商的，须提供法定代表人授权委托书和被授权人身份证复印件。</w:t>
      </w:r>
    </w:p>
    <w:p>
      <w:pPr>
        <w:pStyle w:val="null3"/>
      </w:pPr>
      <w:r>
        <w:rPr>
          <w:rFonts w:ascii="仿宋_GB2312" w:hAnsi="仿宋_GB2312" w:cs="仿宋_GB2312" w:eastAsia="仿宋_GB2312"/>
        </w:rPr>
        <w:t>9、非联合体不分包声明：本项目不接受联合体响应，不允许分包。供应商提供《非联合体不分包声明》，视为独立响应，不分包。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西安市智慧环保综合指挥中心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未央区凤城七路与明光路十字西北角联益中心三楼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西安市智慧环保综合指挥中心经办吴浩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17809267576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陕西省西安市雁塔区朱雀大街南段15号明德盛荟2号楼616室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王凯、李颖华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029-88661828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以成交价为基础按服务类标准收取，供应商在领取中标通知书前一次性全额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西安市智慧环保综合指挥中心</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西安市智慧环保综合指挥中心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西安市智慧环保综合指挥中心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陕西中达国创项目管理有限公司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采购人对本项目整体实施情况进行验收，确认服务标准和服务方式是否达到采购要求（必要时可委托技术专家对项目进行验收）；2）验收依据：采购文件、响应文件、澄清函；合同及附件文本；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联系人：王凯、李颖华</w:t>
      </w:r>
    </w:p>
    <w:p>
      <w:pPr>
        <w:pStyle w:val="null3"/>
      </w:pPr>
      <w:r>
        <w:rPr>
          <w:rFonts w:ascii="仿宋_GB2312" w:hAnsi="仿宋_GB2312" w:cs="仿宋_GB2312" w:eastAsia="仿宋_GB2312"/>
        </w:rPr>
        <w:t>联系电话：029-88661828</w:t>
      </w:r>
    </w:p>
    <w:p>
      <w:pPr>
        <w:pStyle w:val="null3"/>
      </w:pPr>
      <w:r>
        <w:rPr>
          <w:rFonts w:ascii="仿宋_GB2312" w:hAnsi="仿宋_GB2312" w:cs="仿宋_GB2312" w:eastAsia="仿宋_GB2312"/>
        </w:rPr>
        <w:t>地址：陕西省西安市雁塔区朱雀大街南段15号明德盛荟2号楼616室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对道路上行驶的各类机动车按照《在用柴油车排气污染物测量方法及技术要求（遥感检测法）》（HJ845-2017）监测排放的一氧化碳、二氧化碳、碳氢化合物、氮氧化物、烟度等污染物体积浓度。</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1,140,000.00</w:t>
      </w:r>
    </w:p>
    <w:p>
      <w:pPr>
        <w:pStyle w:val="null3"/>
      </w:pPr>
      <w:r>
        <w:rPr>
          <w:rFonts w:ascii="仿宋_GB2312" w:hAnsi="仿宋_GB2312" w:cs="仿宋_GB2312" w:eastAsia="仿宋_GB2312"/>
        </w:rPr>
        <w:t>采购包最高限价（元）: 1,140,000.00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0"/>
              <w:jc w:val="left"/>
            </w:pPr>
            <w:r>
              <w:rPr>
                <w:rFonts w:ascii="仿宋_GB2312" w:hAnsi="仿宋_GB2312" w:cs="仿宋_GB2312" w:eastAsia="仿宋_GB2312"/>
                <w:sz w:val="24"/>
                <w:color w:val="0000FF"/>
              </w:rPr>
              <w:t>一、项目概况</w:t>
            </w:r>
          </w:p>
          <w:p>
            <w:pPr>
              <w:pStyle w:val="null3"/>
              <w:spacing w:before="60"/>
              <w:jc w:val="left"/>
            </w:pPr>
            <w:r>
              <w:rPr>
                <w:rFonts w:ascii="仿宋_GB2312" w:hAnsi="仿宋_GB2312" w:cs="仿宋_GB2312" w:eastAsia="仿宋_GB2312"/>
                <w:sz w:val="24"/>
                <w:color w:val="0000FF"/>
              </w:rPr>
              <w:t>（一）项目简介</w:t>
            </w:r>
          </w:p>
          <w:p>
            <w:pPr>
              <w:pStyle w:val="null3"/>
              <w:spacing w:before="75"/>
              <w:ind w:left="15" w:firstLine="564"/>
              <w:jc w:val="left"/>
            </w:pPr>
            <w:r>
              <w:rPr>
                <w:rFonts w:ascii="仿宋_GB2312" w:hAnsi="仿宋_GB2312" w:cs="仿宋_GB2312" w:eastAsia="仿宋_GB2312"/>
                <w:sz w:val="24"/>
                <w:color w:val="0000FF"/>
              </w:rPr>
              <w:t>依据《陕西省机动车遥测平台建设和联网工作方案的通知》（陕环函</w:t>
            </w:r>
            <w:r>
              <w:rPr>
                <w:rFonts w:ascii="仿宋_GB2312" w:hAnsi="仿宋_GB2312" w:cs="仿宋_GB2312" w:eastAsia="仿宋_GB2312"/>
                <w:sz w:val="24"/>
                <w:color w:val="0000FF"/>
              </w:rPr>
              <w:t>〔</w:t>
            </w:r>
            <w:r>
              <w:rPr>
                <w:rFonts w:ascii="仿宋_GB2312" w:hAnsi="仿宋_GB2312" w:cs="仿宋_GB2312" w:eastAsia="仿宋_GB2312"/>
                <w:sz w:val="24"/>
                <w:color w:val="0000FF"/>
              </w:rPr>
              <w:t>2018〕714 号）、《西安市环境保护“十三五规划 ”的通知》（市发改资 环发〔2016〕254 号）有关要求，</w:t>
            </w:r>
            <w:r>
              <w:rPr>
                <w:rFonts w:ascii="仿宋_GB2312" w:hAnsi="仿宋_GB2312" w:cs="仿宋_GB2312" w:eastAsia="仿宋_GB2312"/>
                <w:sz w:val="24"/>
                <w:color w:val="0000FF"/>
              </w:rPr>
              <w:t>西安市生态环境局</w:t>
            </w:r>
            <w:r>
              <w:rPr>
                <w:rFonts w:ascii="仿宋_GB2312" w:hAnsi="仿宋_GB2312" w:cs="仿宋_GB2312" w:eastAsia="仿宋_GB2312"/>
                <w:sz w:val="24"/>
                <w:color w:val="0000FF"/>
              </w:rPr>
              <w:t>在</w:t>
            </w:r>
            <w:r>
              <w:rPr>
                <w:rFonts w:ascii="仿宋_GB2312" w:hAnsi="仿宋_GB2312" w:cs="仿宋_GB2312" w:eastAsia="仿宋_GB2312"/>
                <w:sz w:val="24"/>
                <w:color w:val="0000FF"/>
              </w:rPr>
              <w:t>2017 年至 2019 年间，分批在绕城高速、三环路周边道路建成</w:t>
            </w:r>
            <w:r>
              <w:rPr>
                <w:rFonts w:ascii="仿宋_GB2312" w:hAnsi="仿宋_GB2312" w:cs="仿宋_GB2312" w:eastAsia="仿宋_GB2312"/>
                <w:sz w:val="24"/>
                <w:color w:val="0000FF"/>
              </w:rPr>
              <w:t>5</w:t>
            </w:r>
            <w:r>
              <w:rPr>
                <w:rFonts w:ascii="仿宋_GB2312" w:hAnsi="仿宋_GB2312" w:cs="仿宋_GB2312" w:eastAsia="仿宋_GB2312"/>
                <w:sz w:val="24"/>
                <w:color w:val="0000FF"/>
              </w:rPr>
              <w:t>套机动车排气污染固定式遥感监测系统，对道路上行驶的各类机动车按照《在用柴油车排气污染物测量方法及技术要求（遥感检测法）》（</w:t>
            </w:r>
            <w:r>
              <w:rPr>
                <w:rFonts w:ascii="仿宋_GB2312" w:hAnsi="仿宋_GB2312" w:cs="仿宋_GB2312" w:eastAsia="仿宋_GB2312"/>
                <w:sz w:val="24"/>
                <w:color w:val="0000FF"/>
              </w:rPr>
              <w:t>HJ845-2017）监测排放的一氧化碳、二氧化碳、碳氢化合物、氮氧化物、烟度等污染物体积浓度。主要实现分析机动车污染趋势，追踪车辆排放大户，完成生态环境部机动车遥感监测数据“ 国家— 省—市三级联网 ”任务，并形成分析报告为机动车污染防治工作提供数据支撑。</w:t>
            </w:r>
          </w:p>
          <w:p>
            <w:pPr>
              <w:pStyle w:val="null3"/>
              <w:spacing w:before="60"/>
              <w:jc w:val="left"/>
            </w:pPr>
            <w:r>
              <w:rPr>
                <w:rFonts w:ascii="仿宋_GB2312" w:hAnsi="仿宋_GB2312" w:cs="仿宋_GB2312" w:eastAsia="仿宋_GB2312"/>
                <w:sz w:val="24"/>
                <w:color w:val="0000FF"/>
              </w:rPr>
              <w:t>（</w:t>
            </w:r>
            <w:r>
              <w:rPr>
                <w:rFonts w:ascii="仿宋_GB2312" w:hAnsi="仿宋_GB2312" w:cs="仿宋_GB2312" w:eastAsia="仿宋_GB2312"/>
                <w:sz w:val="24"/>
                <w:color w:val="0000FF"/>
              </w:rPr>
              <w:t>二</w:t>
            </w:r>
            <w:r>
              <w:rPr>
                <w:rFonts w:ascii="仿宋_GB2312" w:hAnsi="仿宋_GB2312" w:cs="仿宋_GB2312" w:eastAsia="仿宋_GB2312"/>
                <w:sz w:val="24"/>
                <w:color w:val="0000FF"/>
              </w:rPr>
              <w:t>）监测</w:t>
            </w:r>
            <w:r>
              <w:rPr>
                <w:rFonts w:ascii="仿宋_GB2312" w:hAnsi="仿宋_GB2312" w:cs="仿宋_GB2312" w:eastAsia="仿宋_GB2312"/>
                <w:sz w:val="24"/>
                <w:color w:val="0000FF"/>
              </w:rPr>
              <w:t>设备组成及分布</w:t>
            </w:r>
          </w:p>
          <w:p>
            <w:pPr>
              <w:pStyle w:val="null3"/>
              <w:spacing w:before="75"/>
              <w:ind w:firstLine="561"/>
              <w:jc w:val="left"/>
            </w:pPr>
            <w:r>
              <w:rPr>
                <w:rFonts w:ascii="仿宋_GB2312" w:hAnsi="仿宋_GB2312" w:cs="仿宋_GB2312" w:eastAsia="仿宋_GB2312"/>
                <w:sz w:val="24"/>
                <w:color w:val="0000FF"/>
              </w:rPr>
              <w:t>监测系统分为现场监测端、数据传输端、后台处理端。现场监测端是</w:t>
            </w:r>
            <w:r>
              <w:rPr>
                <w:rFonts w:ascii="仿宋_GB2312" w:hAnsi="仿宋_GB2312" w:cs="仿宋_GB2312" w:eastAsia="仿宋_GB2312"/>
                <w:sz w:val="24"/>
                <w:color w:val="0000FF"/>
              </w:rPr>
              <w:t>在道路两侧绿化带设置混凝土基础，架设</w:t>
            </w:r>
            <w:r>
              <w:rPr>
                <w:rFonts w:ascii="仿宋_GB2312" w:hAnsi="仿宋_GB2312" w:cs="仿宋_GB2312" w:eastAsia="仿宋_GB2312"/>
                <w:sz w:val="24"/>
                <w:color w:val="0000FF"/>
              </w:rPr>
              <w:t>L 立杆、专用机箱、监测主机、 辅机、摄像头、补光灯等设施，使用光谱分析技术，监测行驶中机动车排 放的各项污染物，并抓拍车牌号及行驶照片。数据传输端是使用专网</w:t>
            </w:r>
            <w:r>
              <w:rPr>
                <w:rFonts w:ascii="仿宋_GB2312" w:hAnsi="仿宋_GB2312" w:cs="仿宋_GB2312" w:eastAsia="仿宋_GB2312"/>
                <w:sz w:val="24"/>
                <w:color w:val="0000FF"/>
              </w:rPr>
              <w:t>（需要新建通讯链路专线）</w:t>
            </w:r>
            <w:r>
              <w:rPr>
                <w:rFonts w:ascii="仿宋_GB2312" w:hAnsi="仿宋_GB2312" w:cs="仿宋_GB2312" w:eastAsia="仿宋_GB2312"/>
                <w:sz w:val="24"/>
                <w:color w:val="0000FF"/>
              </w:rPr>
              <w:t>将现场监测的数据、照片等信息实时传输至西安市管理平台。后台处理端是储存</w:t>
            </w:r>
            <w:r>
              <w:rPr>
                <w:rFonts w:ascii="仿宋_GB2312" w:hAnsi="仿宋_GB2312" w:cs="仿宋_GB2312" w:eastAsia="仿宋_GB2312"/>
                <w:sz w:val="24"/>
                <w:color w:val="0000FF"/>
              </w:rPr>
              <w:t>、</w:t>
            </w:r>
            <w:r>
              <w:rPr>
                <w:rFonts w:ascii="仿宋_GB2312" w:hAnsi="仿宋_GB2312" w:cs="仿宋_GB2312" w:eastAsia="仿宋_GB2312"/>
                <w:sz w:val="24"/>
                <w:color w:val="0000FF"/>
              </w:rPr>
              <w:t>分析监测数据</w:t>
            </w:r>
            <w:r>
              <w:rPr>
                <w:rFonts w:ascii="仿宋_GB2312" w:hAnsi="仿宋_GB2312" w:cs="仿宋_GB2312" w:eastAsia="仿宋_GB2312"/>
                <w:sz w:val="24"/>
                <w:color w:val="0000FF"/>
              </w:rPr>
              <w:t>,</w:t>
            </w:r>
            <w:r>
              <w:rPr>
                <w:rFonts w:ascii="仿宋_GB2312" w:hAnsi="仿宋_GB2312" w:cs="仿宋_GB2312" w:eastAsia="仿宋_GB2312"/>
                <w:sz w:val="24"/>
                <w:color w:val="0000FF"/>
              </w:rPr>
              <w:t>并上传至省、国家管理平台。</w:t>
            </w:r>
          </w:p>
          <w:p>
            <w:pPr>
              <w:pStyle w:val="null3"/>
              <w:spacing w:before="75"/>
              <w:ind w:left="15" w:firstLine="564"/>
              <w:jc w:val="left"/>
            </w:pPr>
            <w:r>
              <w:rPr>
                <w:rFonts w:ascii="仿宋_GB2312" w:hAnsi="仿宋_GB2312" w:cs="仿宋_GB2312" w:eastAsia="仿宋_GB2312"/>
                <w:sz w:val="24"/>
                <w:color w:val="0000FF"/>
              </w:rPr>
              <w:t>上述</w:t>
            </w:r>
            <w:r>
              <w:rPr>
                <w:rFonts w:ascii="仿宋_GB2312" w:hAnsi="仿宋_GB2312" w:cs="仿宋_GB2312" w:eastAsia="仿宋_GB2312"/>
                <w:sz w:val="24"/>
                <w:color w:val="0000FF"/>
              </w:rPr>
              <w:t>5</w:t>
            </w: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套监测设备分布在：</w:t>
            </w:r>
          </w:p>
          <w:p>
            <w:pPr>
              <w:pStyle w:val="null3"/>
              <w:spacing w:before="75"/>
              <w:ind w:left="15" w:firstLine="564"/>
              <w:jc w:val="left"/>
            </w:pPr>
            <w:r>
              <w:rPr>
                <w:rFonts w:ascii="仿宋_GB2312" w:hAnsi="仿宋_GB2312" w:cs="仿宋_GB2312" w:eastAsia="仿宋_GB2312"/>
                <w:sz w:val="24"/>
                <w:color w:val="0000FF"/>
              </w:rPr>
              <w:t>1</w:t>
            </w:r>
            <w:r>
              <w:rPr>
                <w:rFonts w:ascii="仿宋_GB2312" w:hAnsi="仿宋_GB2312" w:cs="仿宋_GB2312" w:eastAsia="仿宋_GB2312"/>
                <w:sz w:val="24"/>
                <w:color w:val="0000FF"/>
              </w:rPr>
              <w:t>.</w:t>
            </w:r>
            <w:r>
              <w:rPr>
                <w:rFonts w:ascii="仿宋_GB2312" w:hAnsi="仿宋_GB2312" w:cs="仿宋_GB2312" w:eastAsia="仿宋_GB2312"/>
                <w:sz w:val="24"/>
                <w:color w:val="0000FF"/>
              </w:rPr>
              <w:t>香王收费站（长乐东路芙蓉小区门口）</w:t>
            </w:r>
          </w:p>
          <w:p>
            <w:pPr>
              <w:pStyle w:val="null3"/>
              <w:spacing w:before="75"/>
              <w:ind w:left="15" w:firstLine="564"/>
              <w:jc w:val="left"/>
            </w:pPr>
            <w:r>
              <w:rPr>
                <w:rFonts w:ascii="仿宋_GB2312" w:hAnsi="仿宋_GB2312" w:cs="仿宋_GB2312" w:eastAsia="仿宋_GB2312"/>
                <w:sz w:val="24"/>
                <w:color w:val="0000FF"/>
              </w:rPr>
              <w:t>2</w:t>
            </w:r>
            <w:r>
              <w:rPr>
                <w:rFonts w:ascii="仿宋_GB2312" w:hAnsi="仿宋_GB2312" w:cs="仿宋_GB2312" w:eastAsia="仿宋_GB2312"/>
                <w:sz w:val="24"/>
                <w:color w:val="0000FF"/>
              </w:rPr>
              <w:t>.</w:t>
            </w:r>
            <w:r>
              <w:rPr>
                <w:rFonts w:ascii="仿宋_GB2312" w:hAnsi="仿宋_GB2312" w:cs="仿宋_GB2312" w:eastAsia="仿宋_GB2312"/>
                <w:sz w:val="24"/>
                <w:color w:val="0000FF"/>
              </w:rPr>
              <w:t>曲江收费站（南三环与新开门南路向东路南）</w:t>
            </w:r>
          </w:p>
          <w:p>
            <w:pPr>
              <w:pStyle w:val="null3"/>
              <w:spacing w:before="75"/>
              <w:ind w:left="15" w:firstLine="564"/>
              <w:jc w:val="left"/>
            </w:pPr>
            <w:r>
              <w:rPr>
                <w:rFonts w:ascii="仿宋_GB2312" w:hAnsi="仿宋_GB2312" w:cs="仿宋_GB2312" w:eastAsia="仿宋_GB2312"/>
                <w:sz w:val="24"/>
                <w:color w:val="0000FF"/>
              </w:rPr>
              <w:t>3</w:t>
            </w:r>
            <w:r>
              <w:rPr>
                <w:rFonts w:ascii="仿宋_GB2312" w:hAnsi="仿宋_GB2312" w:cs="仿宋_GB2312" w:eastAsia="仿宋_GB2312"/>
                <w:sz w:val="24"/>
                <w:color w:val="0000FF"/>
              </w:rPr>
              <w:t>.</w:t>
            </w:r>
            <w:r>
              <w:rPr>
                <w:rFonts w:ascii="仿宋_GB2312" w:hAnsi="仿宋_GB2312" w:cs="仿宋_GB2312" w:eastAsia="仿宋_GB2312"/>
                <w:sz w:val="24"/>
                <w:color w:val="0000FF"/>
              </w:rPr>
              <w:t>河池寨收费站（河池寨收费站出口约</w:t>
            </w:r>
            <w:r>
              <w:rPr>
                <w:rFonts w:ascii="仿宋_GB2312" w:hAnsi="仿宋_GB2312" w:cs="仿宋_GB2312" w:eastAsia="仿宋_GB2312"/>
                <w:sz w:val="24"/>
                <w:color w:val="0000FF"/>
              </w:rPr>
              <w:t>100米）</w:t>
            </w:r>
          </w:p>
          <w:p>
            <w:pPr>
              <w:pStyle w:val="null3"/>
              <w:spacing w:before="75"/>
              <w:ind w:left="15" w:firstLine="564"/>
              <w:jc w:val="left"/>
            </w:pPr>
            <w:r>
              <w:rPr>
                <w:rFonts w:ascii="仿宋_GB2312" w:hAnsi="仿宋_GB2312" w:cs="仿宋_GB2312" w:eastAsia="仿宋_GB2312"/>
                <w:sz w:val="24"/>
                <w:color w:val="0000FF"/>
              </w:rPr>
              <w:t>4</w:t>
            </w:r>
            <w:r>
              <w:rPr>
                <w:rFonts w:ascii="仿宋_GB2312" w:hAnsi="仿宋_GB2312" w:cs="仿宋_GB2312" w:eastAsia="仿宋_GB2312"/>
                <w:sz w:val="24"/>
                <w:color w:val="0000FF"/>
              </w:rPr>
              <w:t>.</w:t>
            </w:r>
            <w:r>
              <w:rPr>
                <w:rFonts w:ascii="仿宋_GB2312" w:hAnsi="仿宋_GB2312" w:cs="仿宋_GB2312" w:eastAsia="仿宋_GB2312"/>
                <w:sz w:val="24"/>
                <w:color w:val="0000FF"/>
              </w:rPr>
              <w:t>三桥收费站（三桥收费站出口约</w:t>
            </w:r>
            <w:r>
              <w:rPr>
                <w:rFonts w:ascii="仿宋_GB2312" w:hAnsi="仿宋_GB2312" w:cs="仿宋_GB2312" w:eastAsia="仿宋_GB2312"/>
                <w:sz w:val="24"/>
                <w:color w:val="0000FF"/>
              </w:rPr>
              <w:t>200米）</w:t>
            </w:r>
          </w:p>
          <w:p>
            <w:pPr>
              <w:pStyle w:val="null3"/>
              <w:spacing w:before="75"/>
              <w:ind w:left="15" w:firstLine="564"/>
              <w:jc w:val="left"/>
            </w:pPr>
            <w:r>
              <w:rPr>
                <w:rFonts w:ascii="仿宋_GB2312" w:hAnsi="仿宋_GB2312" w:cs="仿宋_GB2312" w:eastAsia="仿宋_GB2312"/>
                <w:sz w:val="24"/>
                <w:color w:val="0000FF"/>
              </w:rPr>
              <w:t>5</w:t>
            </w:r>
            <w:r>
              <w:rPr>
                <w:rFonts w:ascii="仿宋_GB2312" w:hAnsi="仿宋_GB2312" w:cs="仿宋_GB2312" w:eastAsia="仿宋_GB2312"/>
                <w:sz w:val="24"/>
                <w:color w:val="0000FF"/>
              </w:rPr>
              <w:t>.</w:t>
            </w:r>
            <w:r>
              <w:rPr>
                <w:rFonts w:ascii="仿宋_GB2312" w:hAnsi="仿宋_GB2312" w:cs="仿宋_GB2312" w:eastAsia="仿宋_GB2312"/>
                <w:sz w:val="24"/>
                <w:color w:val="0000FF"/>
              </w:rPr>
              <w:t>六村堡收费站（西三环辅道广汽西安八方店门口）</w:t>
            </w:r>
          </w:p>
          <w:p>
            <w:pPr>
              <w:pStyle w:val="null3"/>
              <w:spacing w:before="75"/>
              <w:jc w:val="left"/>
            </w:pPr>
            <w:r>
              <w:rPr>
                <w:rFonts w:ascii="仿宋_GB2312" w:hAnsi="仿宋_GB2312" w:cs="仿宋_GB2312" w:eastAsia="仿宋_GB2312"/>
                <w:sz w:val="24"/>
                <w:color w:val="0000FF"/>
              </w:rPr>
              <w:t>二、运维期限</w:t>
            </w:r>
          </w:p>
          <w:p>
            <w:pPr>
              <w:pStyle w:val="null3"/>
              <w:spacing w:before="60"/>
              <w:ind w:left="15" w:firstLine="576"/>
              <w:jc w:val="left"/>
            </w:pPr>
            <w:r>
              <w:rPr>
                <w:rFonts w:ascii="仿宋_GB2312" w:hAnsi="仿宋_GB2312" w:cs="仿宋_GB2312" w:eastAsia="仿宋_GB2312"/>
                <w:sz w:val="24"/>
                <w:color w:val="0000FF"/>
              </w:rPr>
              <w:t>本项目服务时间为一年</w:t>
            </w:r>
            <w:r>
              <w:rPr>
                <w:rFonts w:ascii="仿宋_GB2312" w:hAnsi="仿宋_GB2312" w:cs="仿宋_GB2312" w:eastAsia="仿宋_GB2312"/>
                <w:sz w:val="24"/>
                <w:color w:val="0000FF"/>
              </w:rPr>
              <w:t>。</w:t>
            </w:r>
          </w:p>
          <w:p>
            <w:pPr>
              <w:pStyle w:val="null3"/>
              <w:spacing w:before="75"/>
              <w:jc w:val="left"/>
            </w:pPr>
            <w:r>
              <w:rPr>
                <w:rFonts w:ascii="仿宋_GB2312" w:hAnsi="仿宋_GB2312" w:cs="仿宋_GB2312" w:eastAsia="仿宋_GB2312"/>
                <w:sz w:val="24"/>
                <w:color w:val="0000FF"/>
              </w:rPr>
              <w:t>三、</w:t>
            </w:r>
            <w:r>
              <w:rPr>
                <w:rFonts w:ascii="仿宋_GB2312" w:hAnsi="仿宋_GB2312" w:cs="仿宋_GB2312" w:eastAsia="仿宋_GB2312"/>
                <w:sz w:val="24"/>
                <w:color w:val="0000FF"/>
              </w:rPr>
              <w:t>付款方式：</w:t>
            </w:r>
          </w:p>
          <w:p>
            <w:pPr>
              <w:pStyle w:val="null3"/>
              <w:ind w:firstLine="480"/>
              <w:jc w:val="left"/>
            </w:pPr>
            <w:r>
              <w:rPr>
                <w:rFonts w:ascii="仿宋_GB2312" w:hAnsi="仿宋_GB2312" w:cs="仿宋_GB2312" w:eastAsia="仿宋_GB2312"/>
                <w:sz w:val="24"/>
                <w:color w:val="0000FF"/>
              </w:rPr>
              <w:t>1、本项目按运维季度付款，自项目启动之日起算，供应商第一个运维季度双方通过工作量确认单对每季度工作量进行确认，供应商在书面确认后按季度绩效考核成绩得分核算费用，且开具全额发票，达到付款条件起 30 日内，支付合同总金额的 25.00%。</w:t>
            </w:r>
            <w:r>
              <w:br/>
            </w:r>
            <w:r>
              <w:rPr>
                <w:rFonts w:ascii="仿宋_GB2312" w:hAnsi="仿宋_GB2312" w:cs="仿宋_GB2312" w:eastAsia="仿宋_GB2312"/>
                <w:sz w:val="24"/>
                <w:color w:val="0000FF"/>
              </w:rPr>
              <w:t xml:space="preserve">    2、本项目按运维季度付款，供应商第二个运维季度双方通过工作量确认单对每季度工作量进行确认，供应商在书面确认后按季度绩效考核成绩得分核算费用，且开具全额发票，达到付款条件起 30 日内，支付合同总金额的 25.00%。</w:t>
            </w:r>
            <w:r>
              <w:br/>
            </w:r>
            <w:r>
              <w:rPr>
                <w:rFonts w:ascii="仿宋_GB2312" w:hAnsi="仿宋_GB2312" w:cs="仿宋_GB2312" w:eastAsia="仿宋_GB2312"/>
                <w:sz w:val="24"/>
                <w:color w:val="0000FF"/>
              </w:rPr>
              <w:t xml:space="preserve">    3、本项目按运维季度付款，供应商第三个运维季度双方通过工作量确认单对每季度工作量进行确认，供应商在书面确认后按季度绩效考核成绩得分核算费用，且开具全额发票，达到付款条件起 30 日内，支付合同总金额的 25.00%。</w:t>
            </w:r>
            <w:r>
              <w:br/>
            </w:r>
            <w:r>
              <w:rPr>
                <w:rFonts w:ascii="仿宋_GB2312" w:hAnsi="仿宋_GB2312" w:cs="仿宋_GB2312" w:eastAsia="仿宋_GB2312"/>
                <w:sz w:val="24"/>
                <w:color w:val="0000FF"/>
              </w:rPr>
              <w:t xml:space="preserve">    4、本项目按运维季度付款，支付第四季度运维费时对全年增减项综合评价，并按绩效考核成绩得分核算应付运维费用，且开具全额发票，达到付款条件起 30 日内，支付合同总金额的 25.00%。</w:t>
            </w:r>
          </w:p>
          <w:p>
            <w:pPr>
              <w:pStyle w:val="null3"/>
              <w:jc w:val="left"/>
            </w:pPr>
            <w:r>
              <w:rPr>
                <w:rFonts w:ascii="仿宋_GB2312" w:hAnsi="仿宋_GB2312" w:cs="仿宋_GB2312" w:eastAsia="仿宋_GB2312"/>
                <w:sz w:val="24"/>
                <w:color w:val="0000FF"/>
              </w:rPr>
              <w:t>四、主要维护内容</w:t>
            </w:r>
          </w:p>
          <w:p>
            <w:pPr>
              <w:pStyle w:val="null3"/>
              <w:spacing w:before="60"/>
              <w:ind w:left="15" w:firstLine="576"/>
              <w:jc w:val="left"/>
            </w:pPr>
            <w:r>
              <w:rPr>
                <w:rFonts w:ascii="仿宋_GB2312" w:hAnsi="仿宋_GB2312" w:cs="仿宋_GB2312" w:eastAsia="仿宋_GB2312"/>
                <w:sz w:val="24"/>
                <w:color w:val="0000FF"/>
              </w:rPr>
              <w:t>5套机动车排气污染固定式遥感监测系统运行维护服务，包含主控计算机、便携计算机、污染物检测单元、速度加速度检测单元、环境气象测量单元、车牌自动识别单元、标定气体校准单元以及安防监控设备管理维护；遥测系统综合应用软件、遥测系统数据分析软件、遥测系统数据传输软件、数据输出LED显示器、数据输出打印以及数据保存系统的管理维护。</w:t>
            </w:r>
          </w:p>
          <w:p>
            <w:pPr>
              <w:pStyle w:val="null3"/>
              <w:spacing w:before="60"/>
              <w:jc w:val="left"/>
            </w:pPr>
            <w:r>
              <w:rPr>
                <w:rFonts w:ascii="仿宋_GB2312" w:hAnsi="仿宋_GB2312" w:cs="仿宋_GB2312" w:eastAsia="仿宋_GB2312"/>
                <w:sz w:val="24"/>
                <w:color w:val="0000FF"/>
              </w:rPr>
              <w:t>五、服务要求</w:t>
            </w:r>
          </w:p>
          <w:p>
            <w:pPr>
              <w:pStyle w:val="null3"/>
              <w:spacing w:before="60"/>
              <w:ind w:left="15" w:firstLine="576"/>
              <w:jc w:val="left"/>
            </w:pPr>
            <w:r>
              <w:rPr>
                <w:rFonts w:ascii="仿宋_GB2312" w:hAnsi="仿宋_GB2312" w:cs="仿宋_GB2312" w:eastAsia="仿宋_GB2312"/>
                <w:sz w:val="24"/>
                <w:color w:val="0000FF"/>
              </w:rPr>
              <w:t>每天、每周、每月按计划完成运维任务，完成监测数据</w:t>
            </w:r>
            <w:r>
              <w:rPr>
                <w:rFonts w:ascii="仿宋_GB2312" w:hAnsi="仿宋_GB2312" w:cs="仿宋_GB2312" w:eastAsia="仿宋_GB2312"/>
                <w:sz w:val="24"/>
                <w:color w:val="0000FF"/>
              </w:rPr>
              <w:t>“三级联网”任务，监测数据有效性符合环境质量标准，并形成分析报告为机动车污染防治工作提供数据支撑。</w:t>
            </w:r>
          </w:p>
          <w:p>
            <w:pPr>
              <w:pStyle w:val="null3"/>
              <w:spacing w:before="75"/>
              <w:jc w:val="left"/>
            </w:pPr>
            <w:r>
              <w:rPr>
                <w:rFonts w:ascii="仿宋_GB2312" w:hAnsi="仿宋_GB2312" w:cs="仿宋_GB2312" w:eastAsia="仿宋_GB2312"/>
                <w:sz w:val="24"/>
                <w:color w:val="0000FF"/>
              </w:rPr>
              <w:t>六、监督考核要求</w:t>
            </w:r>
          </w:p>
          <w:p>
            <w:pPr>
              <w:pStyle w:val="null3"/>
              <w:spacing w:before="60"/>
              <w:ind w:right="105" w:firstLine="480"/>
              <w:jc w:val="left"/>
            </w:pPr>
            <w:r>
              <w:rPr>
                <w:rFonts w:ascii="仿宋_GB2312" w:hAnsi="仿宋_GB2312" w:cs="仿宋_GB2312" w:eastAsia="仿宋_GB2312"/>
                <w:sz w:val="24"/>
                <w:color w:val="0000FF"/>
              </w:rPr>
              <w:t>1.设备维护单位应承担监测数据的保密责任（签订保密协议），不得利用本项目的数据、档案或有关资料对外开展技术交流、业务联系、数据交换等。</w:t>
            </w:r>
          </w:p>
          <w:p>
            <w:pPr>
              <w:pStyle w:val="null3"/>
              <w:ind w:firstLine="480"/>
              <w:jc w:val="left"/>
            </w:pPr>
            <w:r>
              <w:rPr>
                <w:rFonts w:ascii="仿宋_GB2312" w:hAnsi="仿宋_GB2312" w:cs="仿宋_GB2312" w:eastAsia="仿宋_GB2312"/>
                <w:sz w:val="24"/>
                <w:color w:val="0000FF"/>
              </w:rPr>
              <w:t>2.设备维护期间不得出现调整数据、修改参数、改动设备、弄虚作假等违规行为。</w:t>
            </w:r>
          </w:p>
          <w:p>
            <w:pPr>
              <w:pStyle w:val="null3"/>
              <w:spacing w:before="90"/>
              <w:ind w:firstLine="480"/>
              <w:jc w:val="left"/>
            </w:pPr>
            <w:r>
              <w:rPr>
                <w:rFonts w:ascii="仿宋_GB2312" w:hAnsi="仿宋_GB2312" w:cs="仿宋_GB2312" w:eastAsia="仿宋_GB2312"/>
                <w:sz w:val="24"/>
                <w:color w:val="0000FF"/>
              </w:rPr>
              <w:t>3.设备维护期间，应遵守安全生产有关规定，建立安全生产制度，切实消除安全隐患。</w:t>
            </w:r>
          </w:p>
          <w:p>
            <w:pPr>
              <w:pStyle w:val="null3"/>
              <w:spacing w:before="60"/>
              <w:ind w:firstLine="480"/>
              <w:jc w:val="left"/>
            </w:pPr>
            <w:r>
              <w:rPr>
                <w:rFonts w:ascii="仿宋_GB2312" w:hAnsi="仿宋_GB2312" w:cs="仿宋_GB2312" w:eastAsia="仿宋_GB2312"/>
                <w:sz w:val="24"/>
                <w:color w:val="0000FF"/>
              </w:rPr>
              <w:t>4.采购方将</w:t>
            </w:r>
            <w:r>
              <w:rPr>
                <w:rFonts w:ascii="仿宋_GB2312" w:hAnsi="仿宋_GB2312" w:cs="仿宋_GB2312" w:eastAsia="仿宋_GB2312"/>
                <w:sz w:val="24"/>
                <w:color w:val="0000FF"/>
              </w:rPr>
              <w:t>每季度</w:t>
            </w:r>
            <w:r>
              <w:rPr>
                <w:rFonts w:ascii="仿宋_GB2312" w:hAnsi="仿宋_GB2312" w:cs="仿宋_GB2312" w:eastAsia="仿宋_GB2312"/>
                <w:sz w:val="24"/>
                <w:color w:val="0000FF"/>
              </w:rPr>
              <w:t>对设备维护情况进行检查考核，对发现的问题设备维护单位应在</w:t>
            </w:r>
            <w:r>
              <w:rPr>
                <w:rFonts w:ascii="仿宋_GB2312" w:hAnsi="仿宋_GB2312" w:cs="仿宋_GB2312" w:eastAsia="仿宋_GB2312"/>
                <w:sz w:val="24"/>
                <w:color w:val="0000FF"/>
              </w:rPr>
              <w:t>1个工作日内进行书面答复，2 个工作日内制定解决方案，3 个工作日内完成实施并报采购方验收。1 个月内连续 3 次采购方向设备维护方提出问题，或 1 个月内设备维护方工作未达到采购方认可，采购方有权解除合同。</w:t>
            </w:r>
          </w:p>
          <w:p>
            <w:pPr>
              <w:pStyle w:val="null3"/>
              <w:numPr>
                <w:ilvl w:val="0"/>
                <w:numId w:val="1"/>
              </w:numPr>
            </w:pPr>
            <w:r>
              <w:rPr>
                <w:rFonts w:ascii="仿宋_GB2312" w:hAnsi="仿宋_GB2312" w:cs="仿宋_GB2312" w:eastAsia="仿宋_GB2312"/>
                <w:sz w:val="24"/>
                <w:color w:val="0000FF"/>
              </w:rPr>
              <w:t>考核办法</w:t>
            </w:r>
          </w:p>
          <w:p>
            <w:pPr>
              <w:pStyle w:val="null3"/>
              <w:ind w:firstLine="480"/>
              <w:jc w:val="left"/>
            </w:pPr>
            <w:r>
              <w:rPr>
                <w:rFonts w:ascii="仿宋_GB2312" w:hAnsi="仿宋_GB2312" w:cs="仿宋_GB2312" w:eastAsia="仿宋_GB2312"/>
                <w:sz w:val="24"/>
                <w:color w:val="0000FF"/>
              </w:rPr>
              <w:t>1.监督考核要求</w:t>
            </w:r>
          </w:p>
          <w:p>
            <w:pPr>
              <w:pStyle w:val="null3"/>
              <w:ind w:firstLine="480"/>
              <w:jc w:val="left"/>
            </w:pPr>
            <w:r>
              <w:rPr>
                <w:rFonts w:ascii="仿宋_GB2312" w:hAnsi="仿宋_GB2312" w:cs="仿宋_GB2312" w:eastAsia="仿宋_GB2312"/>
                <w:sz w:val="24"/>
                <w:color w:val="0000FF"/>
              </w:rPr>
              <w:t>采购方</w:t>
            </w:r>
            <w:r>
              <w:rPr>
                <w:rFonts w:ascii="仿宋_GB2312" w:hAnsi="仿宋_GB2312" w:cs="仿宋_GB2312" w:eastAsia="仿宋_GB2312"/>
                <w:sz w:val="24"/>
                <w:color w:val="0000FF"/>
              </w:rPr>
              <w:t>每季度</w:t>
            </w:r>
            <w:r>
              <w:rPr>
                <w:rFonts w:ascii="仿宋_GB2312" w:hAnsi="仿宋_GB2312" w:cs="仿宋_GB2312" w:eastAsia="仿宋_GB2312"/>
                <w:sz w:val="24"/>
                <w:color w:val="0000FF"/>
              </w:rPr>
              <w:t>组织开展</w:t>
            </w:r>
            <w:r>
              <w:rPr>
                <w:rFonts w:ascii="仿宋_GB2312" w:hAnsi="仿宋_GB2312" w:cs="仿宋_GB2312" w:eastAsia="仿宋_GB2312"/>
                <w:sz w:val="24"/>
                <w:color w:val="0000FF"/>
              </w:rPr>
              <w:t>运维绩效</w:t>
            </w:r>
            <w:r>
              <w:rPr>
                <w:rFonts w:ascii="仿宋_GB2312" w:hAnsi="仿宋_GB2312" w:cs="仿宋_GB2312" w:eastAsia="仿宋_GB2312"/>
                <w:sz w:val="24"/>
                <w:color w:val="0000FF"/>
              </w:rPr>
              <w:t>考核</w:t>
            </w:r>
            <w:r>
              <w:rPr>
                <w:rFonts w:ascii="仿宋_GB2312" w:hAnsi="仿宋_GB2312" w:cs="仿宋_GB2312" w:eastAsia="仿宋_GB2312"/>
                <w:sz w:val="24"/>
                <w:color w:val="0000FF"/>
              </w:rPr>
              <w:t>，</w:t>
            </w:r>
            <w:r>
              <w:rPr>
                <w:rFonts w:ascii="仿宋_GB2312" w:hAnsi="仿宋_GB2312" w:cs="仿宋_GB2312" w:eastAsia="仿宋_GB2312"/>
                <w:sz w:val="24"/>
                <w:color w:val="0000FF"/>
              </w:rPr>
              <w:t>主要</w:t>
            </w:r>
            <w:r>
              <w:rPr>
                <w:rFonts w:ascii="仿宋_GB2312" w:hAnsi="仿宋_GB2312" w:cs="仿宋_GB2312" w:eastAsia="仿宋_GB2312"/>
                <w:sz w:val="24"/>
                <w:color w:val="0000FF"/>
              </w:rPr>
              <w:t>考核运维工作落实情况</w:t>
            </w:r>
            <w:r>
              <w:rPr>
                <w:rFonts w:ascii="仿宋_GB2312" w:hAnsi="仿宋_GB2312" w:cs="仿宋_GB2312" w:eastAsia="仿宋_GB2312"/>
                <w:sz w:val="24"/>
                <w:color w:val="0000FF"/>
              </w:rPr>
              <w:t>、</w:t>
            </w:r>
            <w:r>
              <w:rPr>
                <w:rFonts w:ascii="仿宋_GB2312" w:hAnsi="仿宋_GB2312" w:cs="仿宋_GB2312" w:eastAsia="仿宋_GB2312"/>
                <w:sz w:val="24"/>
                <w:color w:val="0000FF"/>
              </w:rPr>
              <w:t>运维效果及</w:t>
            </w:r>
            <w:r>
              <w:rPr>
                <w:rFonts w:ascii="仿宋_GB2312" w:hAnsi="仿宋_GB2312" w:cs="仿宋_GB2312" w:eastAsia="仿宋_GB2312"/>
                <w:sz w:val="24"/>
                <w:color w:val="0000FF"/>
              </w:rPr>
              <w:t>报告编制</w:t>
            </w:r>
            <w:r>
              <w:rPr>
                <w:rFonts w:ascii="仿宋_GB2312" w:hAnsi="仿宋_GB2312" w:cs="仿宋_GB2312" w:eastAsia="仿宋_GB2312"/>
                <w:sz w:val="24"/>
                <w:color w:val="0000FF"/>
              </w:rPr>
              <w:t>等情况</w:t>
            </w:r>
            <w:r>
              <w:rPr>
                <w:rFonts w:ascii="仿宋_GB2312" w:hAnsi="仿宋_GB2312" w:cs="仿宋_GB2312" w:eastAsia="仿宋_GB2312"/>
                <w:sz w:val="24"/>
                <w:color w:val="0000FF"/>
              </w:rPr>
              <w:t>。</w:t>
            </w:r>
          </w:p>
          <w:p>
            <w:pPr>
              <w:pStyle w:val="null3"/>
              <w:ind w:firstLine="480"/>
              <w:jc w:val="left"/>
            </w:pPr>
            <w:r>
              <w:rPr>
                <w:rFonts w:ascii="仿宋_GB2312" w:hAnsi="仿宋_GB2312" w:cs="仿宋_GB2312" w:eastAsia="仿宋_GB2312"/>
                <w:sz w:val="24"/>
                <w:color w:val="0000FF"/>
              </w:rPr>
              <w:t>2.考核办法</w:t>
            </w:r>
          </w:p>
          <w:p>
            <w:pPr>
              <w:pStyle w:val="null3"/>
              <w:ind w:firstLine="480"/>
              <w:jc w:val="left"/>
            </w:pPr>
            <w:r>
              <w:rPr>
                <w:rFonts w:ascii="仿宋_GB2312" w:hAnsi="仿宋_GB2312" w:cs="仿宋_GB2312" w:eastAsia="仿宋_GB2312"/>
                <w:sz w:val="24"/>
                <w:color w:val="0000FF"/>
              </w:rPr>
              <w:t>每季度采取逐站考核的办法进行，以检查打分评价运维绩效</w:t>
            </w:r>
            <w:r>
              <w:rPr>
                <w:rFonts w:ascii="仿宋_GB2312" w:hAnsi="仿宋_GB2312" w:cs="仿宋_GB2312" w:eastAsia="仿宋_GB2312"/>
                <w:sz w:val="24"/>
                <w:color w:val="0000FF"/>
              </w:rPr>
              <w:t>。</w:t>
            </w:r>
          </w:p>
          <w:p>
            <w:pPr>
              <w:pStyle w:val="null3"/>
              <w:ind w:firstLine="480"/>
              <w:jc w:val="left"/>
            </w:pPr>
            <w:r>
              <w:rPr>
                <w:rFonts w:ascii="仿宋_GB2312" w:hAnsi="仿宋_GB2312" w:cs="仿宋_GB2312" w:eastAsia="仿宋_GB2312"/>
                <w:sz w:val="24"/>
                <w:color w:val="0000FF"/>
              </w:rPr>
              <w:t>3.</w:t>
            </w:r>
            <w:r>
              <w:rPr>
                <w:rFonts w:ascii="仿宋_GB2312" w:hAnsi="仿宋_GB2312" w:cs="仿宋_GB2312" w:eastAsia="仿宋_GB2312"/>
                <w:sz w:val="24"/>
                <w:color w:val="0000FF"/>
              </w:rPr>
              <w:t>运维</w:t>
            </w:r>
            <w:r>
              <w:rPr>
                <w:rFonts w:ascii="仿宋_GB2312" w:hAnsi="仿宋_GB2312" w:cs="仿宋_GB2312" w:eastAsia="仿宋_GB2312"/>
                <w:sz w:val="24"/>
                <w:color w:val="0000FF"/>
              </w:rPr>
              <w:t>费核算方法：</w:t>
            </w:r>
          </w:p>
          <w:p>
            <w:pPr>
              <w:pStyle w:val="null3"/>
              <w:ind w:firstLine="480"/>
              <w:jc w:val="left"/>
            </w:pPr>
            <w:r>
              <w:rPr>
                <w:rFonts w:ascii="仿宋_GB2312" w:hAnsi="仿宋_GB2312" w:cs="仿宋_GB2312" w:eastAsia="仿宋_GB2312"/>
                <w:sz w:val="24"/>
                <w:color w:val="0000FF"/>
              </w:rPr>
              <w:t>考核总分低于</w:t>
            </w:r>
            <w:r>
              <w:rPr>
                <w:rFonts w:ascii="仿宋_GB2312" w:hAnsi="仿宋_GB2312" w:cs="仿宋_GB2312" w:eastAsia="仿宋_GB2312"/>
                <w:sz w:val="24"/>
                <w:color w:val="0000FF"/>
              </w:rPr>
              <w:t>70分的</w:t>
            </w:r>
            <w:r>
              <w:rPr>
                <w:rFonts w:ascii="仿宋_GB2312" w:hAnsi="仿宋_GB2312" w:cs="仿宋_GB2312" w:eastAsia="仿宋_GB2312"/>
                <w:sz w:val="24"/>
                <w:color w:val="0000FF"/>
              </w:rPr>
              <w:t>站点</w:t>
            </w:r>
            <w:r>
              <w:rPr>
                <w:rFonts w:ascii="仿宋_GB2312" w:hAnsi="仿宋_GB2312" w:cs="仿宋_GB2312" w:eastAsia="仿宋_GB2312"/>
                <w:sz w:val="24"/>
                <w:color w:val="0000FF"/>
              </w:rPr>
              <w:t>，不予支付当期运维费用；考核得分</w:t>
            </w:r>
            <w:r>
              <w:rPr>
                <w:rFonts w:ascii="仿宋_GB2312" w:hAnsi="仿宋_GB2312" w:cs="仿宋_GB2312" w:eastAsia="仿宋_GB2312"/>
                <w:sz w:val="24"/>
                <w:color w:val="0000FF"/>
              </w:rPr>
              <w:t>95(含)分以上的</w:t>
            </w:r>
            <w:r>
              <w:rPr>
                <w:rFonts w:ascii="仿宋_GB2312" w:hAnsi="仿宋_GB2312" w:cs="仿宋_GB2312" w:eastAsia="仿宋_GB2312"/>
                <w:sz w:val="24"/>
                <w:color w:val="0000FF"/>
              </w:rPr>
              <w:t>站点</w:t>
            </w:r>
            <w:r>
              <w:rPr>
                <w:rFonts w:ascii="仿宋_GB2312" w:hAnsi="仿宋_GB2312" w:cs="仿宋_GB2312" w:eastAsia="仿宋_GB2312"/>
                <w:sz w:val="24"/>
                <w:color w:val="0000FF"/>
              </w:rPr>
              <w:t>，支付全额运维费；考核得分在</w:t>
            </w:r>
            <w:r>
              <w:rPr>
                <w:rFonts w:ascii="仿宋_GB2312" w:hAnsi="仿宋_GB2312" w:cs="仿宋_GB2312" w:eastAsia="仿宋_GB2312"/>
                <w:sz w:val="24"/>
                <w:color w:val="0000FF"/>
              </w:rPr>
              <w:t>70(含)-95分的</w:t>
            </w:r>
            <w:r>
              <w:rPr>
                <w:rFonts w:ascii="仿宋_GB2312" w:hAnsi="仿宋_GB2312" w:cs="仿宋_GB2312" w:eastAsia="仿宋_GB2312"/>
                <w:sz w:val="24"/>
                <w:color w:val="0000FF"/>
              </w:rPr>
              <w:t>站点</w:t>
            </w:r>
            <w:r>
              <w:rPr>
                <w:rFonts w:ascii="仿宋_GB2312" w:hAnsi="仿宋_GB2312" w:cs="仿宋_GB2312" w:eastAsia="仿宋_GB2312"/>
                <w:sz w:val="24"/>
                <w:color w:val="0000FF"/>
              </w:rPr>
              <w:t>，当期运维费用</w:t>
            </w:r>
            <w:r>
              <w:rPr>
                <w:rFonts w:ascii="仿宋_GB2312" w:hAnsi="仿宋_GB2312" w:cs="仿宋_GB2312" w:eastAsia="仿宋_GB2312"/>
                <w:sz w:val="24"/>
                <w:color w:val="0000FF"/>
              </w:rPr>
              <w:t>=(实际考核总分/100)×当期全额费用</w:t>
            </w:r>
            <w:r>
              <w:rPr>
                <w:rFonts w:ascii="仿宋_GB2312" w:hAnsi="仿宋_GB2312" w:cs="仿宋_GB2312" w:eastAsia="仿宋_GB2312"/>
                <w:sz w:val="24"/>
                <w:color w:val="0000FF"/>
              </w:rPr>
              <w:t>。</w:t>
            </w:r>
          </w:p>
          <w:p>
            <w:pPr>
              <w:pStyle w:val="null3"/>
              <w:ind w:firstLine="480"/>
              <w:jc w:val="center"/>
            </w:pPr>
            <w:r>
              <w:rPr>
                <w:rFonts w:ascii="仿宋_GB2312" w:hAnsi="仿宋_GB2312" w:cs="仿宋_GB2312" w:eastAsia="仿宋_GB2312"/>
                <w:sz w:val="24"/>
                <w:color w:val="0000FF"/>
              </w:rPr>
              <w:t>西安市</w:t>
            </w:r>
            <w:r>
              <w:rPr>
                <w:rFonts w:ascii="仿宋_GB2312" w:hAnsi="仿宋_GB2312" w:cs="仿宋_GB2312" w:eastAsia="仿宋_GB2312"/>
                <w:sz w:val="24"/>
                <w:color w:val="0000FF"/>
              </w:rPr>
              <w:t>机动车污染物监测项目</w:t>
            </w:r>
            <w:r>
              <w:rPr>
                <w:rFonts w:ascii="仿宋_GB2312" w:hAnsi="仿宋_GB2312" w:cs="仿宋_GB2312" w:eastAsia="仿宋_GB2312"/>
                <w:sz w:val="24"/>
                <w:color w:val="0000FF"/>
              </w:rPr>
              <w:t>绩效考核统计表</w:t>
            </w:r>
          </w:p>
          <w:p>
            <w:pPr>
              <w:pStyle w:val="null3"/>
              <w:spacing w:before="60"/>
              <w:ind w:left="15" w:firstLine="559"/>
              <w:jc w:val="left"/>
            </w:pPr>
            <w:r>
              <w:rPr>
                <w:rFonts w:ascii="仿宋_GB2312" w:hAnsi="仿宋_GB2312" w:cs="仿宋_GB2312" w:eastAsia="仿宋_GB2312"/>
                <w:sz w:val="24"/>
                <w:color w:val="0000FF"/>
              </w:rPr>
              <w:t xml:space="preserve"> 监测</w:t>
            </w:r>
            <w:r>
              <w:rPr>
                <w:rFonts w:ascii="仿宋_GB2312" w:hAnsi="仿宋_GB2312" w:cs="仿宋_GB2312" w:eastAsia="仿宋_GB2312"/>
                <w:sz w:val="24"/>
                <w:color w:val="0000FF"/>
              </w:rPr>
              <w:t>站点</w:t>
            </w:r>
            <w:r>
              <w:rPr>
                <w:rFonts w:ascii="仿宋_GB2312" w:hAnsi="仿宋_GB2312" w:cs="仿宋_GB2312" w:eastAsia="仿宋_GB2312"/>
                <w:sz w:val="24"/>
                <w:color w:val="0000FF"/>
              </w:rPr>
              <w:t>名称：</w:t>
            </w: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检查日期</w:t>
            </w:r>
            <w:r>
              <w:rPr>
                <w:rFonts w:ascii="仿宋_GB2312" w:hAnsi="仿宋_GB2312" w:cs="仿宋_GB2312" w:eastAsia="仿宋_GB2312"/>
                <w:sz w:val="24"/>
                <w:color w:val="0000FF"/>
              </w:rPr>
              <w:t>：</w:t>
            </w:r>
            <w:r>
              <w:rPr>
                <w:rFonts w:ascii="仿宋_GB2312" w:hAnsi="仿宋_GB2312" w:cs="仿宋_GB2312" w:eastAsia="仿宋_GB2312"/>
                <w:sz w:val="24"/>
                <w:color w:val="0000FF"/>
              </w:rPr>
              <w:t xml:space="preserve">               </w:t>
            </w:r>
          </w:p>
          <w:p>
            <w:pPr>
              <w:pStyle w:val="null3"/>
              <w:spacing w:before="60"/>
              <w:jc w:val="left"/>
            </w:pPr>
            <w:r>
              <w:rPr>
                <w:rFonts w:ascii="仿宋_GB2312" w:hAnsi="仿宋_GB2312" w:cs="仿宋_GB2312" w:eastAsia="仿宋_GB2312"/>
                <w:sz w:val="24"/>
                <w:color w:val="0000FF"/>
              </w:rPr>
              <w:t xml:space="preserve"> </w:t>
            </w:r>
            <w:r>
              <w:rPr>
                <w:rFonts w:ascii="仿宋_GB2312" w:hAnsi="仿宋_GB2312" w:cs="仿宋_GB2312" w:eastAsia="仿宋_GB2312"/>
                <w:sz w:val="24"/>
                <w:color w:val="0000FF"/>
              </w:rPr>
              <w:t>检查人员：</w:t>
            </w:r>
            <w:r>
              <w:rPr>
                <w:rFonts w:ascii="仿宋_GB2312" w:hAnsi="仿宋_GB2312" w:cs="仿宋_GB2312" w:eastAsia="仿宋_GB2312"/>
                <w:sz w:val="24"/>
                <w:color w:val="0000FF"/>
              </w:rPr>
              <w:t xml:space="preserve">             </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FF"/>
              </w:rPr>
              <w:t>运维人员：</w:t>
            </w:r>
            <w:r>
              <w:rPr>
                <w:rFonts w:ascii="仿宋_GB2312" w:hAnsi="仿宋_GB2312" w:cs="仿宋_GB2312" w:eastAsia="仿宋_GB2312"/>
                <w:sz w:val="24"/>
                <w:color w:val="0000FF"/>
              </w:rPr>
              <w:t xml:space="preserve">            </w:t>
            </w:r>
            <w:r>
              <w:rPr>
                <w:rFonts w:ascii="仿宋_GB2312" w:hAnsi="仿宋_GB2312" w:cs="仿宋_GB2312" w:eastAsia="仿宋_GB2312"/>
                <w:sz w:val="21"/>
                <w:color w:val="000000"/>
              </w:rPr>
              <w:t xml:space="preserve">       </w:t>
            </w:r>
          </w:p>
          <w:tbl>
            <w:tblPr>
              <w:tblBorders>
                <w:top w:val="none" w:color="000000" w:sz="4"/>
                <w:left w:val="none" w:color="000000" w:sz="4"/>
                <w:bottom w:val="none" w:color="000000" w:sz="4"/>
                <w:right w:val="none" w:color="000000" w:sz="4"/>
                <w:insideH w:val="none"/>
                <w:insideV w:val="none"/>
              </w:tblBorders>
            </w:tblPr>
            <w:tblGrid>
              <w:gridCol w:w="322"/>
              <w:gridCol w:w="597"/>
              <w:gridCol w:w="426"/>
              <w:gridCol w:w="1206"/>
            </w:tblGrid>
            <w:tr>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4"/>
                      <w:color w:val="0000FF"/>
                    </w:rPr>
                    <w:t>序号</w:t>
                  </w:r>
                </w:p>
              </w:tc>
              <w:tc>
                <w:tcPr>
                  <w:tcW w:type="dxa" w:w="5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4"/>
                      <w:color w:val="0000FF"/>
                    </w:rPr>
                    <w:t>考核内容</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4"/>
                      <w:color w:val="0000FF"/>
                    </w:rPr>
                    <w:t>考核得分</w:t>
                  </w:r>
                </w:p>
              </w:tc>
              <w:tc>
                <w:tcPr>
                  <w:tcW w:type="dxa" w:w="1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15" w:firstLine="559"/>
                    <w:jc w:val="left"/>
                  </w:pPr>
                  <w:r>
                    <w:rPr>
                      <w:rFonts w:ascii="仿宋_GB2312" w:hAnsi="仿宋_GB2312" w:cs="仿宋_GB2312" w:eastAsia="仿宋_GB2312"/>
                      <w:sz w:val="24"/>
                      <w:color w:val="0000FF"/>
                    </w:rPr>
                    <w:t>具体要求</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4"/>
                      <w:color w:val="0000FF"/>
                    </w:rPr>
                    <w:t>1</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4"/>
                      <w:color w:val="0000FF"/>
                    </w:rPr>
                    <w:t>监测及抓拍设备维护（</w:t>
                  </w:r>
                  <w:r>
                    <w:rPr>
                      <w:rFonts w:ascii="仿宋_GB2312" w:hAnsi="仿宋_GB2312" w:cs="仿宋_GB2312" w:eastAsia="仿宋_GB2312"/>
                      <w:sz w:val="24"/>
                      <w:color w:val="0000FF"/>
                    </w:rPr>
                    <w:t>20分）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15" w:firstLine="559"/>
                    <w:jc w:val="left"/>
                  </w:p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抓拍设备及补光灯工况良好</w:t>
                  </w:r>
                  <w:r>
                    <w:rPr>
                      <w:rFonts w:ascii="仿宋_GB2312" w:hAnsi="仿宋_GB2312" w:cs="仿宋_GB2312" w:eastAsia="仿宋_GB2312"/>
                      <w:sz w:val="24"/>
                      <w:color w:val="0000FF"/>
                    </w:rPr>
                    <w:t>,定期进行定位、调校、检修、维护。监测仪、紫外氘灯、红外激光、绿激光器、光谱仪运转正常。未及时维护或检修出现故障,每处扣5分</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4"/>
                      <w:color w:val="0000FF"/>
                    </w:rPr>
                    <w:t>2</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4"/>
                      <w:color w:val="0000FF"/>
                    </w:rPr>
                    <w:t>辅助设施维护（</w:t>
                  </w:r>
                  <w:r>
                    <w:rPr>
                      <w:rFonts w:ascii="仿宋_GB2312" w:hAnsi="仿宋_GB2312" w:cs="仿宋_GB2312" w:eastAsia="仿宋_GB2312"/>
                      <w:sz w:val="24"/>
                      <w:color w:val="0000FF"/>
                    </w:rPr>
                    <w:t>20分）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15" w:firstLine="559"/>
                    <w:jc w:val="left"/>
                  </w:p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抓拍摄像头、主机无灰尘；混凝土基础设施应完好无损；</w:t>
                  </w:r>
                  <w:r>
                    <w:rPr>
                      <w:rFonts w:ascii="仿宋_GB2312" w:hAnsi="仿宋_GB2312" w:cs="仿宋_GB2312" w:eastAsia="仿宋_GB2312"/>
                      <w:sz w:val="24"/>
                      <w:color w:val="0000FF"/>
                    </w:rPr>
                    <w:t>L立杆、专用机柜、标志标牌无锈迹，稳压保护装置及线路正常运行。每处不达标扣5分。</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4"/>
                      <w:color w:val="0000FF"/>
                    </w:rPr>
                    <w:t>3</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4"/>
                      <w:color w:val="0000FF"/>
                    </w:rPr>
                    <w:t>异常情况处置（</w:t>
                  </w:r>
                  <w:r>
                    <w:rPr>
                      <w:rFonts w:ascii="仿宋_GB2312" w:hAnsi="仿宋_GB2312" w:cs="仿宋_GB2312" w:eastAsia="仿宋_GB2312"/>
                      <w:sz w:val="24"/>
                      <w:color w:val="0000FF"/>
                    </w:rPr>
                    <w:t>10分）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15" w:firstLine="559"/>
                    <w:jc w:val="left"/>
                  </w:p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设备出现故障未在</w:t>
                  </w:r>
                  <w:r>
                    <w:rPr>
                      <w:rFonts w:ascii="仿宋_GB2312" w:hAnsi="仿宋_GB2312" w:cs="仿宋_GB2312" w:eastAsia="仿宋_GB2312"/>
                      <w:sz w:val="24"/>
                      <w:color w:val="0000FF"/>
                    </w:rPr>
                    <w:t>24小时内修复，一次扣5分。</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rFonts w:ascii="仿宋_GB2312" w:hAnsi="仿宋_GB2312" w:cs="仿宋_GB2312" w:eastAsia="仿宋_GB2312"/>
                      <w:sz w:val="24"/>
                      <w:color w:val="0000FF"/>
                    </w:rPr>
                    <w:t>4</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4"/>
                      <w:color w:val="0000FF"/>
                    </w:rPr>
                    <w:t>运维工作落实情况（</w:t>
                  </w:r>
                  <w:r>
                    <w:rPr>
                      <w:rFonts w:ascii="仿宋_GB2312" w:hAnsi="仿宋_GB2312" w:cs="仿宋_GB2312" w:eastAsia="仿宋_GB2312"/>
                      <w:sz w:val="24"/>
                      <w:color w:val="0000FF"/>
                    </w:rPr>
                    <w:t>20分）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15" w:firstLine="559"/>
                    <w:jc w:val="left"/>
                  </w:p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监测站点每日人工校准一次，每两小时自动校准一次，每月深度检修一次，每季度运维结束后应将运维完成情况形成运维报告，并于下季度</w:t>
                  </w:r>
                  <w:r>
                    <w:rPr>
                      <w:rFonts w:ascii="仿宋_GB2312" w:hAnsi="仿宋_GB2312" w:cs="仿宋_GB2312" w:eastAsia="仿宋_GB2312"/>
                      <w:sz w:val="24"/>
                      <w:color w:val="0000FF"/>
                    </w:rPr>
                    <w:t>5日前报送至指挥中心</w:t>
                  </w:r>
                </w:p>
              </w:tc>
            </w:tr>
            <w:tr>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5" w:firstLine="559"/>
                    <w:jc w:val="left"/>
                  </w:pPr>
                  <w:r>
                    <w:rPr>
                      <w:rFonts w:ascii="仿宋_GB2312" w:hAnsi="仿宋_GB2312" w:cs="仿宋_GB2312" w:eastAsia="仿宋_GB2312"/>
                      <w:sz w:val="24"/>
                      <w:color w:val="0000FF"/>
                    </w:rPr>
                    <w:t>5</w:t>
                  </w:r>
                </w:p>
              </w:tc>
              <w:tc>
                <w:tcPr>
                  <w:tcW w:type="dxa" w:w="5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jc w:val="left"/>
                  </w:pPr>
                  <w:r>
                    <w:rPr>
                      <w:rFonts w:ascii="仿宋_GB2312" w:hAnsi="仿宋_GB2312" w:cs="仿宋_GB2312" w:eastAsia="仿宋_GB2312"/>
                      <w:sz w:val="24"/>
                      <w:color w:val="0000FF"/>
                    </w:rPr>
                    <w:t>软件平台与服务器维护（</w:t>
                  </w:r>
                  <w:r>
                    <w:rPr>
                      <w:rFonts w:ascii="仿宋_GB2312" w:hAnsi="仿宋_GB2312" w:cs="仿宋_GB2312" w:eastAsia="仿宋_GB2312"/>
                      <w:sz w:val="24"/>
                      <w:color w:val="0000FF"/>
                    </w:rPr>
                    <w:t>30分）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15" w:firstLine="559"/>
                    <w:jc w:val="left"/>
                  </w:p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FF"/>
                    </w:rPr>
                    <w:t>平台分析软件维护（运行状况检查、配置参数检查、参数调优、软件升级）不达标每处扣</w:t>
                  </w:r>
                  <w:r>
                    <w:rPr>
                      <w:rFonts w:ascii="仿宋_GB2312" w:hAnsi="仿宋_GB2312" w:cs="仿宋_GB2312" w:eastAsia="仿宋_GB2312"/>
                      <w:sz w:val="24"/>
                      <w:color w:val="0000FF"/>
                    </w:rPr>
                    <w:t>2分；服务器数据库维护（配置检查、数据备份、恢复、迁移、故障排除、性能调优）不达标每处扣2分；数据分析应用（提供机动车监测数据比对、分析、评估服务，分析排放动态、评估区域污染）不达标每处扣2分。</w:t>
                  </w:r>
                </w:p>
              </w:tc>
            </w:tr>
            <w:tr>
              <w:tc>
                <w:tcPr>
                  <w:tcW w:type="dxa" w:w="91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15" w:firstLine="559"/>
                    <w:jc w:val="left"/>
                  </w:pPr>
                  <w:r>
                    <w:rPr>
                      <w:rFonts w:ascii="仿宋_GB2312" w:hAnsi="仿宋_GB2312" w:cs="仿宋_GB2312" w:eastAsia="仿宋_GB2312"/>
                      <w:sz w:val="24"/>
                      <w:color w:val="0000FF"/>
                    </w:rPr>
                    <w:t>考核总分</w:t>
                  </w:r>
                </w:p>
              </w:tc>
              <w:tc>
                <w:tcPr>
                  <w:tcW w:type="dxa" w:w="16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15" w:firstLine="559"/>
                    <w:jc w:val="left"/>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按照合同约定及绩效考核统计表执行。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本项目按运维季度付款，自项目启动之日起算，供应商第一个运维季度双方通过工作量确认单对每季度工作量进行确认，供应商在书面确认后按季度绩效考核成绩得分核算费用，且开具全额发票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本项目按运维季度付款，供应商第二个运维季度双方通过工作量确认单对每季度工作量进行确认，供应商在书面确认后按季度绩效考核成绩得分核算费用，且开具全额发票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本项目按运维季度付款，供应商第三个运维季度双方通过工作量确认单对每季度工作量进行确认，供应商在书面确认后按季度绩效考核成绩得分核算费用，且开具全额发票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本项目按运维季度付款，支付第四季度运维费时对全年增减项综合评价，并按绩效考核成绩得分核算应付运维费用，且开具全额发票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软件和信息技术服务业。根据《工业和信息化部、国家统计局、国家发展和改革委员会、财政部关于印发中小企业划型标准规定的通知》《工信部联企业(2011)300号)规定的划型标准：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2.中标/成交供应商在中标结果发布后3个工作日内，需提交与电子化平台提交内容一致的签字盖章后的纸质版响应文件，正本壹份、副本壹份，纸质响应文件标明供应商名称。若线上电响应标文件与纸质响应文件不一致的，以线上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供应商提供开标前一年内任意一个月已缴纳的税收缴纳凭证或完税证明；依法免税单位的应提供相关文件证明。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法定代表人参加磋商的，须提供法人身份证明和本人身份证复印件；法定代表人授权他人参加磋商的，须提供法定代表人授权委托书和被授权人身份证复印件。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本项目不接受联合体响应，不允许分包。供应商提供《非联合体不分包声明》，视为独立响应，不分包。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中小企业声明函 残疾人福利性单位声明函 商务应答表 标的清单 供应商应提交的相关资格证明材料 服务内容及服务要求应答表 报价表 响应函 业绩表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（1）磋商报价符合唯一性要求；（2）未超出采购预算或竞争性磋商文件规定的最高限价。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实质性响应了竞实质性响应了竞争性磋商文件中标注的要求；响应文件中没有含采购人不能接受的附加条件或其他无效情形争性磋商文件中标注的要求；响应文件中没有含采购人不能接受的附加条件或其他无效情形。</w:t>
            </w:r>
          </w:p>
        </w:tc>
        <w:tc>
          <w:tcPr>
            <w:tcW w:type="dxa" w:w="1661"/>
          </w:tcPr>
          <w:p>
            <w:pPr>
              <w:pStyle w:val="null3"/>
            </w:pPr>
            <w:r>
              <w:rPr>
                <w:rFonts w:ascii="仿宋_GB2312" w:hAnsi="仿宋_GB2312" w:cs="仿宋_GB2312" w:eastAsia="仿宋_GB2312"/>
              </w:rPr>
              <w:t>中小企业声明函 残疾人福利性单位声明函 商务应答表 标的清单 供应商应提交的相关资格证明材料 服务内容及服务要求应答表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项目重难点分析及解决策略</w:t>
            </w:r>
          </w:p>
        </w:tc>
        <w:tc>
          <w:tcPr>
            <w:tcW w:type="dxa" w:w="2492"/>
          </w:tcPr>
          <w:p>
            <w:pPr>
              <w:pStyle w:val="null3"/>
            </w:pPr>
            <w:r>
              <w:rPr>
                <w:rFonts w:ascii="仿宋_GB2312" w:hAnsi="仿宋_GB2312" w:cs="仿宋_GB2312" w:eastAsia="仿宋_GB2312"/>
              </w:rPr>
              <w:t>供应商围绕本项目特点提出项目的重点、难点，明确项目的总体要求、工作原则和解决策略。 1.描述全面完整，重点及难点把握准确，分析到位，解决措施科学完善、切实可行，得5分； 2.描述较为全面，重点及难点把握较为准确，分析基本合理，解决措施合理可行，得3分； 3.描述简单，重点及难点把握有偏差，分析欠缺，得1分；其他或未提供不得分。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项目重难点分析及解决策略</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要求对采购人运维服务需求的理解，各供应商有具体、完整的技术方案及主要技术措施（整体运营维护方案、维护体系、维护流程等内容）。 1.技术方案及主要技术措施完善、明确，技术方案内容全面，可行性和针对性强，得14分； 2.技术方案及主要技术措施较为明确，技术方案基本满足要求，可行性和针对性较强，得10分； 3.技术方案及主要技术措施基本清晰；技术方案常规，有一定的可行性和针对性，得6分； 4.技术方案及主要技术措施内容合理性较差，技术方案可行性较低，得2分；其他或未提供不得分。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修复性服务和定期预防性管理维护方案</w:t>
            </w:r>
          </w:p>
        </w:tc>
        <w:tc>
          <w:tcPr>
            <w:tcW w:type="dxa" w:w="2492"/>
          </w:tcPr>
          <w:p>
            <w:pPr>
              <w:pStyle w:val="null3"/>
            </w:pPr>
            <w:r>
              <w:rPr>
                <w:rFonts w:ascii="仿宋_GB2312" w:hAnsi="仿宋_GB2312" w:cs="仿宋_GB2312" w:eastAsia="仿宋_GB2312"/>
              </w:rPr>
              <w:t>要求对本运行维护项目制定规范化的修复性服务和定期预防性管理维护方案。 1.修复性服务和定期预防性管理维护方案完善、明确；方案内容全面，可行性和针对性强，得10分； 2.修复性服务和定期预防性管理维护方案较为明确；方案基本满足要求，可行性和针对性较强，得7分； 3.修复性服务和定期预防性管理维护方案基本清晰；方案常规，有一定的可行性和针对性，得4分； 4.修复性服务和定期预防性管理维护方案内容欠缺；方案可行性较低，得1分；其他或未提供不得分。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修复性服务和定期预防性管理维护方案</w:t>
            </w:r>
          </w:p>
        </w:tc>
      </w:tr>
      <w:tr>
        <w:tc>
          <w:tcPr>
            <w:tcW w:type="dxa" w:w="831"/>
            <w:vMerge/>
          </w:tcP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对故障诊断、故障恢复、维护管理、安全管理（包括但不限于系统安全、信息安全、管理安全、数据安全等）等，有详细、可行的保障服务措施及方案。 1.方案详尽，合理可行，逻辑清楚，针对性、可行性强，得10分； 2.方案较为完善，有一定的逻辑性、针对性、可行性，得7分； 3.方案基本合理，可行性、针对性一般，得4分； 4.方案内容欠缺，可行性、针对性较低，得1分；其他或未提供不得分。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保障方案</w:t>
            </w:r>
          </w:p>
        </w:tc>
      </w:tr>
      <w:tr>
        <w:tc>
          <w:tcPr>
            <w:tcW w:type="dxa" w:w="831"/>
            <w:vMerge/>
          </w:tcPr>
          <w:p/>
        </w:tc>
        <w:tc>
          <w:tcPr>
            <w:tcW w:type="dxa" w:w="1661"/>
          </w:tcPr>
          <w:p>
            <w:pPr>
              <w:pStyle w:val="null3"/>
            </w:pPr>
            <w:r>
              <w:rPr>
                <w:rFonts w:ascii="仿宋_GB2312" w:hAnsi="仿宋_GB2312" w:cs="仿宋_GB2312" w:eastAsia="仿宋_GB2312"/>
              </w:rPr>
              <w:t>数据分析</w:t>
            </w:r>
          </w:p>
        </w:tc>
        <w:tc>
          <w:tcPr>
            <w:tcW w:type="dxa" w:w="2492"/>
          </w:tcPr>
          <w:p>
            <w:pPr>
              <w:pStyle w:val="null3"/>
            </w:pPr>
            <w:r>
              <w:rPr>
                <w:rFonts w:ascii="仿宋_GB2312" w:hAnsi="仿宋_GB2312" w:cs="仿宋_GB2312" w:eastAsia="仿宋_GB2312"/>
              </w:rPr>
              <w:t>具备软件开发和数据分析能力，可提供机动车尾气污染数据分析、机动车尾气遥感数据查询分析、机动车尾气遥感数据采集传输开发能力、机动车尾气遥感设备控制系统开发能力，随时做好数据分析服务。 1.可提供的数据分析服务能够完全满足需求，得8分； 2.可提供的数据分析服务基本满足需求，得5分； 3.可提供的数据分析服务不能满足需求，得2分；其他或未提供不得分。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数据分析</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提供具有针对性的进度控制方案，包含但不限于工作时间进度计划、工作程序和步骤等。 1.方案详细完整、合理可行，进度调配得当，控制措施紧密有效，针对性强，得8分； 2.方案内容齐全、基本可行，控制措施有一定针对性，得5分； 3.方案内容欠缺，针对性较差得2分；其他或未提供不得分。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进度控制</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根据供应商投入本项目所需备品备件的技术性能、质量、使用年限及完整性等情况进行评审。 1.备品备件的技术性能、质量、使用年限及完整性完全满足需求，得4分； 2.备品备件的技术性能、质量、使用年限及完整性基本满足需求，得2分；其他或未提供不得分。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备品备件</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针对可能出现的问题及突发事件，有具体可行的应急措施和解决方案，内容包括但不限于运维响应时间、定期巡查、服务监督管理机制等。 1.应急预案内容全面，处置链条完整，响应迅速，措施具体，可行性强，得8分； 2.应急预案内容相对全面，处置链条较为完整，响应较快，措施有一定可行性，得5分； 3.应急预案内容简单，处置链条不完整，措施可行性较低，得2分；其他或未提供不得分。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w:t>
            </w:r>
          </w:p>
        </w:tc>
      </w:tr>
      <w:tr>
        <w:tc>
          <w:tcPr>
            <w:tcW w:type="dxa" w:w="831"/>
            <w:vMerge/>
          </w:tcPr>
          <w:p/>
        </w:tc>
        <w:tc>
          <w:tcPr>
            <w:tcW w:type="dxa" w:w="1661"/>
          </w:tcPr>
          <w:p>
            <w:pPr>
              <w:pStyle w:val="null3"/>
            </w:pPr>
            <w:r>
              <w:rPr>
                <w:rFonts w:ascii="仿宋_GB2312" w:hAnsi="仿宋_GB2312" w:cs="仿宋_GB2312" w:eastAsia="仿宋_GB2312"/>
              </w:rPr>
              <w:t>后期服务承诺</w:t>
            </w:r>
          </w:p>
        </w:tc>
        <w:tc>
          <w:tcPr>
            <w:tcW w:type="dxa" w:w="2492"/>
          </w:tcPr>
          <w:p>
            <w:pPr>
              <w:pStyle w:val="null3"/>
            </w:pPr>
            <w:r>
              <w:rPr>
                <w:rFonts w:ascii="仿宋_GB2312" w:hAnsi="仿宋_GB2312" w:cs="仿宋_GB2312" w:eastAsia="仿宋_GB2312"/>
              </w:rPr>
              <w:t>供应商具有完善的售后服务体系，并有详细的售后服务措施承诺，能够保证 7*24h 不间断运行。 1.服务承诺完善，内容详细、科学合理，可行性及针对性强，得8分； 2.服务承诺相对完善，内容基本合理，有一定可行性及针对性，得5分； 3.服务承诺内容欠缺，可行性及针对性较低，得2分；其他或未提供不得分。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后期服务承诺</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供应商具有机动车尾气遥感监测类软件著作权证书，每提供1个得1分，最高得5分；其他或未提供不得分。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1.拟投入本项目的项目负责人具备高级职称，得3分；具备中级职称，得2分；其他或未提供不得分。 2.拟投入本项目的项目组成员(项目负责人除外)具备相关专业高级职称，每提供一个得2分；具备相关专业中级职称，每提供一个得1分，最高得3分；其他或未提供不得分。 注：以身份证、毕业证、职称证或资格证以及提供社保机构出具的2025年1个月社保证明等文件为准，未按要求提供不得分。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供应商提供2022年1月1日至今同类项目（系统运维）业绩（以合同签订日期为准），每提供1个得2分，最高得4分。 备注：响应文件中提供合同复印件加盖公章。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经审查合格的响应文件，其磋商报价为有效报价。并对有效报价进行政策性扣减，并依据扣减后的价格（评审价格）进行价格评审； 有效最低评审价格得10分； 其他供应商的价格分统一按照下列公式计算： 价格分=(最低评审价格／磋商报价)×10 计算分数时保留小数点后两位。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详见附件：项目重难点分析及解决策略</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详见附件：修复性服务和定期预防性管理维护方案</w:t>
      </w:r>
    </w:p>
    <w:p>
      <w:pPr>
        <w:pStyle w:val="null3"/>
        <w:ind w:firstLine="960"/>
      </w:pPr>
      <w:r>
        <w:rPr>
          <w:rFonts w:ascii="仿宋_GB2312" w:hAnsi="仿宋_GB2312" w:cs="仿宋_GB2312" w:eastAsia="仿宋_GB2312"/>
        </w:rPr>
        <w:t>详见附件：保障方案</w:t>
      </w:r>
    </w:p>
    <w:p>
      <w:pPr>
        <w:pStyle w:val="null3"/>
        <w:ind w:firstLine="960"/>
      </w:pPr>
      <w:r>
        <w:rPr>
          <w:rFonts w:ascii="仿宋_GB2312" w:hAnsi="仿宋_GB2312" w:cs="仿宋_GB2312" w:eastAsia="仿宋_GB2312"/>
        </w:rPr>
        <w:t>详见附件：数据分析</w:t>
      </w:r>
    </w:p>
    <w:p>
      <w:pPr>
        <w:pStyle w:val="null3"/>
        <w:ind w:firstLine="960"/>
      </w:pPr>
      <w:r>
        <w:rPr>
          <w:rFonts w:ascii="仿宋_GB2312" w:hAnsi="仿宋_GB2312" w:cs="仿宋_GB2312" w:eastAsia="仿宋_GB2312"/>
        </w:rPr>
        <w:t>详见附件：进度控制</w:t>
      </w:r>
    </w:p>
    <w:p>
      <w:pPr>
        <w:pStyle w:val="null3"/>
        <w:ind w:firstLine="960"/>
      </w:pPr>
      <w:r>
        <w:rPr>
          <w:rFonts w:ascii="仿宋_GB2312" w:hAnsi="仿宋_GB2312" w:cs="仿宋_GB2312" w:eastAsia="仿宋_GB2312"/>
        </w:rPr>
        <w:t>详见附件：备品备件</w:t>
      </w:r>
    </w:p>
    <w:p>
      <w:pPr>
        <w:pStyle w:val="null3"/>
        <w:ind w:firstLine="960"/>
      </w:pPr>
      <w:r>
        <w:rPr>
          <w:rFonts w:ascii="仿宋_GB2312" w:hAnsi="仿宋_GB2312" w:cs="仿宋_GB2312" w:eastAsia="仿宋_GB2312"/>
        </w:rPr>
        <w:t>详见附件：应急措施</w:t>
      </w:r>
    </w:p>
    <w:p>
      <w:pPr>
        <w:pStyle w:val="null3"/>
        <w:ind w:firstLine="960"/>
      </w:pPr>
      <w:r>
        <w:rPr>
          <w:rFonts w:ascii="仿宋_GB2312" w:hAnsi="仿宋_GB2312" w:cs="仿宋_GB2312" w:eastAsia="仿宋_GB2312"/>
        </w:rPr>
        <w:t>详见附件：后期服务承诺</w:t>
      </w:r>
    </w:p>
    <w:p>
      <w:pPr>
        <w:pStyle w:val="null3"/>
        <w:ind w:firstLine="960"/>
      </w:pPr>
      <w:r>
        <w:rPr>
          <w:rFonts w:ascii="仿宋_GB2312" w:hAnsi="仿宋_GB2312" w:cs="仿宋_GB2312" w:eastAsia="仿宋_GB2312"/>
        </w:rPr>
        <w:t>详见附件：企业实力</w:t>
      </w:r>
    </w:p>
    <w:p>
      <w:pPr>
        <w:pStyle w:val="null3"/>
        <w:ind w:firstLine="960"/>
      </w:pPr>
      <w:r>
        <w:rPr>
          <w:rFonts w:ascii="仿宋_GB2312" w:hAnsi="仿宋_GB2312" w:cs="仿宋_GB2312" w:eastAsia="仿宋_GB2312"/>
        </w:rPr>
        <w:t>详见附件：项目团队</w:t>
      </w:r>
    </w:p>
    <w:p>
      <w:pPr>
        <w:pStyle w:val="null3"/>
        <w:ind w:firstLine="960"/>
      </w:pPr>
      <w:r>
        <w:rPr>
          <w:rFonts w:ascii="仿宋_GB2312" w:hAnsi="仿宋_GB2312" w:cs="仿宋_GB2312" w:eastAsia="仿宋_GB2312"/>
        </w:rPr>
        <w:t>详见附件：业绩表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详见附件：西安市机动车污染物监测项目合同.docx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