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版本号：LZBC2025-122920250717001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西安文理学院关中书院宿舍改造项目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LZBC2025-1229</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西安文理学院关中书院宿舍改造项目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LZBC2025-1229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西安文理学院关中书院宿舍改造项目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西安文理学院关中书院宿舍改造项目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采购包1（西安文理学院关中书院宿舍改造项目）：属于专门面向中小企业采购。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供应商须具备建筑装修装饰工程专业承包二级及以上（含二级）资质，以及合法有效的安全生产许可证；，供应商需在项目电子化交易系统中按要求上传相应证明文件：供应商须具备建筑装修装饰工程专业承包二级及以上（含二级）资质，以及合法有效的安全生产许可证；，供应商需在项目电子化交易系统中按要求上传相应证明文件</w:t>
      </w:r>
    </w:p>
    <w:p>
      <w:pPr>
        <w:pStyle w:val="null3"/>
      </w:pPr>
      <w:r>
        <w:rPr>
          <w:rFonts w:ascii="仿宋_GB2312" w:hAnsi="仿宋_GB2312" w:cs="仿宋_GB2312" w:eastAsia="仿宋_GB2312"/>
        </w:rPr>
        <w:t>3、拟派项目负责人资质和专业要求。：拟派项目负责人具备建筑工程专业贰级及以上建造师注册证书，具备有效的安全生产考核合格B证， 在本单位注册且无在建项目，供应商需在项目电子化交易系统中按要求上传相应证明文件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 明； 其中：重大违法记录是指供应商因违法经营受到刑事处罚或者责令停产停业、吊销许可证或者执照 、较大数额罚款等行政处罚：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6、财务状况报告：财务状况报告：供应商2024年经审计的财务报告（事业法人可提供部门决算报告）或基本开户银行出具的资信证明或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信用要求：不得为“信用中国”网站（www.creditchina.gov.cn）中列入失信被执行人和重大税收违法失信主体的供应商，不得为中国政府采购网（www.ccgp.gov.cn）政府采购严重违法失信行为记录名单中被财政部门禁止参加政府采购活动的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采购包1：955,713.50元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说明：本项目承包人需向发包人暂存履约保证金，按照成交价的3%交存。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代理服务费收费标准：1、本项目采购代理服务费以成交价作为收费基数，参照计价格[2002]1 980号、发改价格[2011]534号、发改办价格〔2003〕857号中工程类执行。 2、成交单位在领取成交通知书之前，须向采购代理机构支付招标代理服务费。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踏勘时间：2025-07-25 10:00:00</w:t>
            </w:r>
          </w:p>
          <w:p>
            <w:pPr>
              <w:pStyle w:val="null3"/>
              <w:ind w:firstLine="975"/>
            </w:pPr>
            <w:r>
              <w:rPr>
                <w:rFonts w:ascii="仿宋_GB2312" w:hAnsi="仿宋_GB2312" w:cs="仿宋_GB2312" w:eastAsia="仿宋_GB2312"/>
              </w:rPr>
              <w:t>踏勘地点：关中书院</w:t>
            </w:r>
          </w:p>
          <w:p>
            <w:pPr>
              <w:pStyle w:val="null3"/>
              <w:ind w:firstLine="975"/>
            </w:pPr>
            <w:r>
              <w:rPr>
                <w:rFonts w:ascii="仿宋_GB2312" w:hAnsi="仿宋_GB2312" w:cs="仿宋_GB2312" w:eastAsia="仿宋_GB2312"/>
              </w:rPr>
              <w:t>联系人：李芳芳</w:t>
            </w:r>
          </w:p>
          <w:p>
            <w:pPr>
              <w:pStyle w:val="null3"/>
              <w:ind w:firstLine="975"/>
            </w:pPr>
            <w:r>
              <w:rPr>
                <w:rFonts w:ascii="仿宋_GB2312" w:hAnsi="仿宋_GB2312" w:cs="仿宋_GB2312" w:eastAsia="仿宋_GB2312"/>
              </w:rPr>
              <w:t>联系电话号码：15191864520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 一、交付竣工验收的工程，必须符合规定的工程质量标准，有完整的工程技术经济资料和经签署的工程保修书，并具备国家规定的其他竣工条件。 工程竣工经验收合格后，方可交付使用；未经验收或者验收不合格的，不得交付使用 二、验收结果合格的，采购人应向成交供应商出具履约验收报告，成交供应商凭验收报告办理相关手续。 三、验收结果不合格的，履约保证金将不予退还，给采购人造成的损失超过履约保证金数额的，还应当对超过部分予以赔偿；没有提交履约保证金的，应当对采购人的损失承担赔偿责任。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955,713.50</w:t>
      </w:r>
    </w:p>
    <w:p>
      <w:pPr>
        <w:pStyle w:val="null3"/>
      </w:pPr>
      <w:r>
        <w:rPr>
          <w:rFonts w:ascii="仿宋_GB2312" w:hAnsi="仿宋_GB2312" w:cs="仿宋_GB2312" w:eastAsia="仿宋_GB2312"/>
        </w:rPr>
        <w:t>采购包最高限价（元）: 955,713.50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西安文理学院关中书院宿舍改造项目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955,713.50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标的名称：西安文理学院关中书院宿舍改造项目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本项目主要内容为西安文理学院关中书院宿舍改造项目，主要包括：装饰装修工程、建筑工程、安装工程（含给排水、电气）等内容。</w:t>
            </w:r>
          </w:p>
          <w:p>
            <w:pPr>
              <w:pStyle w:val="null3"/>
              <w:ind w:firstLine="400"/>
              <w:jc w:val="both"/>
            </w:pPr>
            <w:r>
              <w:rPr>
                <w:rFonts w:ascii="仿宋_GB2312" w:hAnsi="仿宋_GB2312" w:cs="仿宋_GB2312" w:eastAsia="仿宋_GB2312"/>
              </w:rPr>
              <w:t>二、编制依据</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、《陕西省建设工程工程量清单计价规则》（</w:t>
            </w:r>
            <w:r>
              <w:rPr>
                <w:rFonts w:ascii="仿宋_GB2312" w:hAnsi="仿宋_GB2312" w:cs="仿宋_GB2312" w:eastAsia="仿宋_GB2312"/>
              </w:rPr>
              <w:t>2025</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、《陕西省房屋建筑与装饰工程基价表（</w:t>
            </w:r>
            <w:r>
              <w:rPr>
                <w:rFonts w:ascii="仿宋_GB2312" w:hAnsi="仿宋_GB2312" w:cs="仿宋_GB2312" w:eastAsia="仿宋_GB2312"/>
              </w:rPr>
              <w:t>2025</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、《陕西省通用安装工程基价表（</w:t>
            </w:r>
            <w:r>
              <w:rPr>
                <w:rFonts w:ascii="仿宋_GB2312" w:hAnsi="仿宋_GB2312" w:cs="仿宋_GB2312" w:eastAsia="仿宋_GB2312"/>
              </w:rPr>
              <w:t>2025</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4</w:t>
            </w:r>
            <w:r>
              <w:rPr>
                <w:rFonts w:ascii="仿宋_GB2312" w:hAnsi="仿宋_GB2312" w:cs="仿宋_GB2312" w:eastAsia="仿宋_GB2312"/>
              </w:rPr>
              <w:t>、《陕建管发（</w:t>
            </w:r>
            <w:r>
              <w:rPr>
                <w:rFonts w:ascii="仿宋_GB2312" w:hAnsi="仿宋_GB2312" w:cs="仿宋_GB2312" w:eastAsia="仿宋_GB2312"/>
              </w:rPr>
              <w:t>2025</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号文》关于</w:t>
            </w:r>
            <w:r>
              <w:rPr>
                <w:rFonts w:ascii="仿宋_GB2312" w:hAnsi="仿宋_GB2312" w:cs="仿宋_GB2312" w:eastAsia="仿宋_GB2312"/>
              </w:rPr>
              <w:t>2025</w:t>
            </w:r>
            <w:r>
              <w:rPr>
                <w:rFonts w:ascii="仿宋_GB2312" w:hAnsi="仿宋_GB2312" w:cs="仿宋_GB2312" w:eastAsia="仿宋_GB2312"/>
              </w:rPr>
              <w:t>陕西省建设工程费用规则等计价依据的通知；</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、建设工程设计文件、图纸等；</w:t>
            </w:r>
          </w:p>
          <w:p>
            <w:pPr>
              <w:pStyle w:val="null3"/>
              <w:ind w:firstLine="400"/>
              <w:jc w:val="both"/>
            </w:pPr>
            <w:r>
              <w:rPr>
                <w:rFonts w:ascii="仿宋_GB2312" w:hAnsi="仿宋_GB2312" w:cs="仿宋_GB2312" w:eastAsia="仿宋_GB2312"/>
              </w:rPr>
              <w:t>6</w:t>
            </w:r>
            <w:r>
              <w:rPr>
                <w:rFonts w:ascii="仿宋_GB2312" w:hAnsi="仿宋_GB2312" w:cs="仿宋_GB2312" w:eastAsia="仿宋_GB2312"/>
              </w:rPr>
              <w:t>、与建设工程项目有关的标准、规范、技术资料；</w:t>
            </w:r>
          </w:p>
          <w:p>
            <w:pPr>
              <w:pStyle w:val="null3"/>
              <w:ind w:firstLine="400"/>
              <w:jc w:val="both"/>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磋商</w:t>
            </w:r>
            <w:r>
              <w:rPr>
                <w:rFonts w:ascii="仿宋_GB2312" w:hAnsi="仿宋_GB2312" w:cs="仿宋_GB2312" w:eastAsia="仿宋_GB2312"/>
              </w:rPr>
              <w:t>文件中对工程量清单编制的相关要求；</w:t>
            </w:r>
          </w:p>
          <w:p>
            <w:pPr>
              <w:pStyle w:val="null3"/>
              <w:ind w:firstLine="400"/>
              <w:jc w:val="both"/>
            </w:pPr>
            <w:r>
              <w:rPr>
                <w:rFonts w:ascii="仿宋_GB2312" w:hAnsi="仿宋_GB2312" w:cs="仿宋_GB2312" w:eastAsia="仿宋_GB2312"/>
              </w:rPr>
              <w:t>9</w:t>
            </w:r>
            <w:r>
              <w:rPr>
                <w:rFonts w:ascii="仿宋_GB2312" w:hAnsi="仿宋_GB2312" w:cs="仿宋_GB2312" w:eastAsia="仿宋_GB2312"/>
              </w:rPr>
              <w:t>、现场情况及常规的施工组织及方案；</w:t>
            </w:r>
          </w:p>
          <w:p>
            <w:pPr>
              <w:pStyle w:val="null3"/>
              <w:ind w:firstLine="400"/>
              <w:jc w:val="both"/>
            </w:pPr>
            <w:r>
              <w:rPr>
                <w:rFonts w:ascii="仿宋_GB2312" w:hAnsi="仿宋_GB2312" w:cs="仿宋_GB2312" w:eastAsia="仿宋_GB2312"/>
              </w:rPr>
              <w:t>10</w:t>
            </w:r>
            <w:r>
              <w:rPr>
                <w:rFonts w:ascii="仿宋_GB2312" w:hAnsi="仿宋_GB2312" w:cs="仿宋_GB2312" w:eastAsia="仿宋_GB2312"/>
              </w:rPr>
              <w:t>、工程量清单计价软件</w:t>
            </w:r>
            <w:r>
              <w:rPr>
                <w:rFonts w:ascii="仿宋_GB2312" w:hAnsi="仿宋_GB2312" w:cs="仿宋_GB2312" w:eastAsia="仿宋_GB2312"/>
              </w:rPr>
              <w:t>“</w:t>
            </w:r>
            <w:r>
              <w:rPr>
                <w:rFonts w:ascii="仿宋_GB2312" w:hAnsi="仿宋_GB2312" w:cs="仿宋_GB2312" w:eastAsia="仿宋_GB2312"/>
              </w:rPr>
              <w:t>广联达云计价平台</w:t>
            </w:r>
            <w:r>
              <w:rPr>
                <w:rFonts w:ascii="仿宋_GB2312" w:hAnsi="仿宋_GB2312" w:cs="仿宋_GB2312" w:eastAsia="仿宋_GB2312"/>
              </w:rPr>
              <w:t>GCCP7.0-7.5000.23.1”</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三、清单编制范围：</w:t>
            </w:r>
          </w:p>
          <w:p>
            <w:pPr>
              <w:pStyle w:val="null3"/>
              <w:ind w:firstLine="400"/>
              <w:jc w:val="both"/>
            </w:pPr>
            <w:r>
              <w:rPr>
                <w:rFonts w:ascii="仿宋_GB2312" w:hAnsi="仿宋_GB2312" w:cs="仿宋_GB2312" w:eastAsia="仿宋_GB2312"/>
              </w:rPr>
              <w:t>本次招标内容为</w:t>
            </w:r>
            <w:r>
              <w:rPr>
                <w:rFonts w:ascii="仿宋_GB2312" w:hAnsi="仿宋_GB2312" w:cs="仿宋_GB2312" w:eastAsia="仿宋_GB2312"/>
              </w:rPr>
              <w:t>磋商</w:t>
            </w:r>
            <w:r>
              <w:rPr>
                <w:rFonts w:ascii="仿宋_GB2312" w:hAnsi="仿宋_GB2312" w:cs="仿宋_GB2312" w:eastAsia="仿宋_GB2312"/>
              </w:rPr>
              <w:t>文件、设计图纸所含的装修改造部分施工内容，具体如下：卫生间改造工程、公共区域装修工程、水电局部改造维修工程等内容；以上详见图纸。</w:t>
            </w:r>
          </w:p>
          <w:p>
            <w:pPr>
              <w:pStyle w:val="null3"/>
              <w:ind w:firstLine="400"/>
              <w:jc w:val="both"/>
            </w:pPr>
            <w:r>
              <w:rPr>
                <w:rFonts w:ascii="仿宋_GB2312" w:hAnsi="仿宋_GB2312" w:cs="仿宋_GB2312" w:eastAsia="仿宋_GB2312"/>
              </w:rPr>
              <w:t>四、其他说明：</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、本工程量清单是根据</w:t>
            </w:r>
            <w:r>
              <w:rPr>
                <w:rFonts w:ascii="仿宋_GB2312" w:hAnsi="仿宋_GB2312" w:cs="仿宋_GB2312" w:eastAsia="仿宋_GB2312"/>
              </w:rPr>
              <w:t>磋商</w:t>
            </w:r>
            <w:r>
              <w:rPr>
                <w:rFonts w:ascii="仿宋_GB2312" w:hAnsi="仿宋_GB2312" w:cs="仿宋_GB2312" w:eastAsia="仿宋_GB2312"/>
              </w:rPr>
              <w:t>文件、有合同约束力的图纸、补充说明以及有关工程量清单的国家标准、行业标准、合同条款中约定的工程量计算规则编制的；</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、本工程量清单应与</w:t>
            </w:r>
            <w:r>
              <w:rPr>
                <w:rFonts w:ascii="仿宋_GB2312" w:hAnsi="仿宋_GB2312" w:cs="仿宋_GB2312" w:eastAsia="仿宋_GB2312"/>
              </w:rPr>
              <w:t>磋商</w:t>
            </w:r>
            <w:r>
              <w:rPr>
                <w:rFonts w:ascii="仿宋_GB2312" w:hAnsi="仿宋_GB2312" w:cs="仿宋_GB2312" w:eastAsia="仿宋_GB2312"/>
              </w:rPr>
              <w:t>文件中的</w:t>
            </w:r>
            <w:r>
              <w:rPr>
                <w:rFonts w:ascii="仿宋_GB2312" w:hAnsi="仿宋_GB2312" w:cs="仿宋_GB2312" w:eastAsia="仿宋_GB2312"/>
              </w:rPr>
              <w:t>供应商</w:t>
            </w:r>
            <w:r>
              <w:rPr>
                <w:rFonts w:ascii="仿宋_GB2312" w:hAnsi="仿宋_GB2312" w:cs="仿宋_GB2312" w:eastAsia="仿宋_GB2312"/>
              </w:rPr>
              <w:t>须知、通用合同条款、专用合同条款、技术标准和要求及图纸等一起阅读和理解，结合现场实际情况等文件综合考虑进行报价；</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、砼按商品砼考虑计入；</w:t>
            </w:r>
          </w:p>
          <w:p>
            <w:pPr>
              <w:pStyle w:val="null3"/>
              <w:ind w:firstLine="400"/>
              <w:jc w:val="both"/>
            </w:pPr>
            <w:r>
              <w:rPr>
                <w:rFonts w:ascii="仿宋_GB2312" w:hAnsi="仿宋_GB2312" w:cs="仿宋_GB2312" w:eastAsia="仿宋_GB2312"/>
              </w:rPr>
              <w:t>4</w:t>
            </w:r>
            <w:r>
              <w:rPr>
                <w:rFonts w:ascii="仿宋_GB2312" w:hAnsi="仿宋_GB2312" w:cs="仿宋_GB2312" w:eastAsia="仿宋_GB2312"/>
              </w:rPr>
              <w:t>、砂浆按预拌砂浆考虑计入；</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、本工程暂列金额</w:t>
            </w:r>
            <w:r>
              <w:rPr>
                <w:rFonts w:ascii="仿宋_GB2312" w:hAnsi="仿宋_GB2312" w:cs="仿宋_GB2312" w:eastAsia="仿宋_GB2312"/>
              </w:rPr>
              <w:t>40000</w:t>
            </w:r>
            <w:r>
              <w:rPr>
                <w:rFonts w:ascii="仿宋_GB2312" w:hAnsi="仿宋_GB2312" w:cs="仿宋_GB2312" w:eastAsia="仿宋_GB2312"/>
              </w:rPr>
              <w:t>元。</w:t>
            </w:r>
          </w:p>
          <w:p>
            <w:pPr>
              <w:pStyle w:val="null3"/>
              <w:ind w:firstLine="400"/>
              <w:jc w:val="both"/>
            </w:pPr>
            <w:r>
              <w:rPr>
                <w:rFonts w:ascii="仿宋_GB2312" w:hAnsi="仿宋_GB2312" w:cs="仿宋_GB2312" w:eastAsia="仿宋_GB2312"/>
              </w:rPr>
              <w:t>五、工期</w:t>
            </w:r>
          </w:p>
          <w:p>
            <w:pPr>
              <w:pStyle w:val="null3"/>
              <w:ind w:firstLine="400"/>
              <w:jc w:val="both"/>
            </w:pPr>
            <w:r>
              <w:rPr>
                <w:rFonts w:ascii="仿宋_GB2312" w:hAnsi="仿宋_GB2312" w:cs="仿宋_GB2312" w:eastAsia="仿宋_GB2312"/>
              </w:rPr>
              <w:t>合同签订之日起</w:t>
            </w:r>
            <w:r>
              <w:rPr>
                <w:rFonts w:ascii="仿宋_GB2312" w:hAnsi="仿宋_GB2312" w:cs="仿宋_GB2312" w:eastAsia="仿宋_GB2312"/>
              </w:rPr>
              <w:t>20</w:t>
            </w:r>
            <w:r>
              <w:rPr>
                <w:rFonts w:ascii="仿宋_GB2312" w:hAnsi="仿宋_GB2312" w:cs="仿宋_GB2312" w:eastAsia="仿宋_GB2312"/>
              </w:rPr>
              <w:t>个日历日</w:t>
            </w:r>
          </w:p>
          <w:p>
            <w:pPr>
              <w:pStyle w:val="null3"/>
              <w:ind w:firstLine="400"/>
              <w:jc w:val="both"/>
            </w:pPr>
            <w:r>
              <w:rPr>
                <w:rFonts w:ascii="仿宋_GB2312" w:hAnsi="仿宋_GB2312" w:cs="仿宋_GB2312" w:eastAsia="仿宋_GB2312"/>
              </w:rPr>
              <w:t>六、落实优先采购节能、环保产品的政策</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、根据《国务院办公厅关于建立政府强制采购节能产品制度的通知》（国办发〔</w:t>
            </w:r>
            <w:r>
              <w:rPr>
                <w:rFonts w:ascii="仿宋_GB2312" w:hAnsi="仿宋_GB2312" w:cs="仿宋_GB2312" w:eastAsia="仿宋_GB2312"/>
              </w:rPr>
              <w:t>2007</w:t>
            </w:r>
            <w:r>
              <w:rPr>
                <w:rFonts w:ascii="仿宋_GB2312" w:hAnsi="仿宋_GB2312" w:cs="仿宋_GB2312" w:eastAsia="仿宋_GB2312"/>
              </w:rPr>
              <w:t>〕</w:t>
            </w:r>
            <w:r>
              <w:rPr>
                <w:rFonts w:ascii="仿宋_GB2312" w:hAnsi="仿宋_GB2312" w:cs="仿宋_GB2312" w:eastAsia="仿宋_GB2312"/>
              </w:rPr>
              <w:t>51</w:t>
            </w:r>
            <w:r>
              <w:rPr>
                <w:rFonts w:ascii="仿宋_GB2312" w:hAnsi="仿宋_GB2312" w:cs="仿宋_GB2312" w:eastAsia="仿宋_GB2312"/>
              </w:rPr>
              <w:t>号）有关要求，“使用财政性资金进行政府采购活动时，在技术、服务等指标满足采购需求的前提下，要优先采购节能产品，对部分节能效果、性能等达到要求的产品，实行强制采购，以促进节约能源，保护环境，降低政府机构能源费用开支。”</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、根据《财政部发展改革委生态环境部市场监管总局关于调整优化节能产品、环境标志产品政府采购执行机制的通知》（财库〔</w:t>
            </w:r>
            <w:r>
              <w:rPr>
                <w:rFonts w:ascii="仿宋_GB2312" w:hAnsi="仿宋_GB2312" w:cs="仿宋_GB2312" w:eastAsia="仿宋_GB2312"/>
              </w:rPr>
              <w:t>2019</w:t>
            </w: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00"/>
              <w:jc w:val="both"/>
            </w:pPr>
            <w:r>
              <w:rPr>
                <w:rFonts w:ascii="仿宋_GB2312" w:hAnsi="仿宋_GB2312" w:cs="仿宋_GB2312" w:eastAsia="仿宋_GB2312"/>
              </w:rPr>
              <w:t>所有投标产品进入</w:t>
            </w:r>
            <w:r>
              <w:rPr>
                <w:rFonts w:ascii="仿宋_GB2312" w:hAnsi="仿宋_GB2312" w:cs="仿宋_GB2312" w:eastAsia="仿宋_GB2312"/>
              </w:rPr>
              <w:t>“节能产品政府采购品目清单”的，应提供相关证书复印件，相关证书的颁发机构应来自《参与实施政府采购节能产品认证机构名录》。</w:t>
            </w:r>
          </w:p>
          <w:p>
            <w:pPr>
              <w:pStyle w:val="null3"/>
            </w:pPr>
            <w:r>
              <w:rPr>
                <w:rFonts w:ascii="仿宋_GB2312" w:hAnsi="仿宋_GB2312" w:cs="仿宋_GB2312" w:eastAsia="仿宋_GB2312"/>
              </w:rPr>
              <w:t xml:space="preserve">  所有投标产品进入“环境标志产品政府采购品目清单”的，应提供相关证书复印件，相关证书的颁发机构应来自《参与实施政府采购环境标志产品认证机构名录》。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满足国家行业相关标准及磋商文件相关要求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 入300万元及以上，且资产总额300万元及以上的为小型企业；营业收入300万元以下或资产总额300万元以下的为微型企业； （二）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 （三）本项目为综合单价合同，最终固定单价以最终总报价/首次总报价的比例等比例下浮。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响应文件格式.docx 报价函 标的清单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供应商须具备建筑装修装饰工程专业承包二级及以上（含二级）资质，以及合法有效的安全生产许可证；，供应商需在项目电子化交易系统中按要求上传相应证明文件</w:t>
            </w:r>
          </w:p>
        </w:tc>
        <w:tc>
          <w:tcPr>
            <w:tcW w:type="dxa" w:w="3322"/>
          </w:tcPr>
          <w:p>
            <w:pPr>
              <w:pStyle w:val="null3"/>
            </w:pPr>
            <w:r>
              <w:rPr>
                <w:rFonts w:ascii="仿宋_GB2312" w:hAnsi="仿宋_GB2312" w:cs="仿宋_GB2312" w:eastAsia="仿宋_GB2312"/>
              </w:rPr>
              <w:t>供应商须具备建筑装修装饰工程专业承包二级及以上（含二级）资质，以及合法有效的安全生产许可证；，供应商需在项目电子化交易系统中按要求上传相应证明文件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拟派项目负责人具备建筑工程专业贰级及以上建造师注册证书，具备有效的安全生产考核合格B证， 在本单位注册且无在建项目，供应商需在项目电子化交易系统中按要求上传相应证明文件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 明； 其中：重大违法记录是指供应商因违法经营受到刑事处罚或者责令停产停业、吊销许可证或者执照 、较大数额罚款等行政处罚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2024年经审计的财务报告（事业法人可提供部门决算报告）或基本开户银行出具的资信证明或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响应文件格式.docx 报价函 标的清单 响应函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w:t>
            </w:r>
          </w:p>
        </w:tc>
        <w:tc>
          <w:tcPr>
            <w:tcW w:type="dxa" w:w="1661"/>
          </w:tcPr>
          <w:p>
            <w:pPr>
              <w:pStyle w:val="null3"/>
            </w:pPr>
            <w:r>
              <w:rPr>
                <w:rFonts w:ascii="仿宋_GB2312" w:hAnsi="仿宋_GB2312" w:cs="仿宋_GB2312" w:eastAsia="仿宋_GB2312"/>
              </w:rPr>
              <w:t>已标价工程量清单 响应文件格式.docx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已标价工程量清单 响应文件格式.docx 响应函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响应文件格式.docx 响应函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响应文件的签署、加盖印章合格有效；提供的各种证明文件、数据、资料真实有效；响应文件是否存在实质性偏离。</w:t>
            </w:r>
          </w:p>
        </w:tc>
        <w:tc>
          <w:tcPr>
            <w:tcW w:type="dxa" w:w="1661"/>
          </w:tcPr>
          <w:p>
            <w:pPr>
              <w:pStyle w:val="null3"/>
            </w:pPr>
            <w:r>
              <w:rPr>
                <w:rFonts w:ascii="仿宋_GB2312" w:hAnsi="仿宋_GB2312" w:cs="仿宋_GB2312" w:eastAsia="仿宋_GB2312"/>
              </w:rPr>
              <w:t>已标价工程量清单 响应文件格式.docx 响应函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响应文件格式.docx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整个项目施工的具体方案。 赋分标准：（1）完整性（2）针对性（3）可操作性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确保工程质量的技术组织措施 赋分标准：（1）完整性（2）针对性（3）可操作性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施工总进度计划及保证措施</w:t>
            </w:r>
          </w:p>
        </w:tc>
        <w:tc>
          <w:tcPr>
            <w:tcW w:type="dxa" w:w="2492"/>
          </w:tcPr>
          <w:p>
            <w:pPr>
              <w:pStyle w:val="null3"/>
            </w:pPr>
            <w:r>
              <w:rPr>
                <w:rFonts w:ascii="仿宋_GB2312" w:hAnsi="仿宋_GB2312" w:cs="仿宋_GB2312" w:eastAsia="仿宋_GB2312"/>
              </w:rPr>
              <w:t>施工总进度计划及保证措施 赋分标准：（1）完整性（2）针对性（3）可操作性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项目组织管理及项目人员组成</w:t>
            </w:r>
          </w:p>
        </w:tc>
        <w:tc>
          <w:tcPr>
            <w:tcW w:type="dxa" w:w="2492"/>
          </w:tcPr>
          <w:p>
            <w:pPr>
              <w:pStyle w:val="null3"/>
            </w:pPr>
            <w:r>
              <w:rPr>
                <w:rFonts w:ascii="仿宋_GB2312" w:hAnsi="仿宋_GB2312" w:cs="仿宋_GB2312" w:eastAsia="仿宋_GB2312"/>
              </w:rPr>
              <w:t>项目组织管理机构，项目经理及项目实施的人员组成情况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文明施工及环境保护</w:t>
            </w:r>
          </w:p>
        </w:tc>
        <w:tc>
          <w:tcPr>
            <w:tcW w:type="dxa" w:w="2492"/>
          </w:tcPr>
          <w:p>
            <w:pPr>
              <w:pStyle w:val="null3"/>
            </w:pPr>
            <w:r>
              <w:rPr>
                <w:rFonts w:ascii="仿宋_GB2312" w:hAnsi="仿宋_GB2312" w:cs="仿宋_GB2312" w:eastAsia="仿宋_GB2312"/>
              </w:rPr>
              <w:t>确保文明施工的技术组织措施及环境保护（噪音、扬尘）措施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协调工作及应急措施</w:t>
            </w:r>
          </w:p>
        </w:tc>
        <w:tc>
          <w:tcPr>
            <w:tcW w:type="dxa" w:w="2492"/>
          </w:tcPr>
          <w:p>
            <w:pPr>
              <w:pStyle w:val="null3"/>
            </w:pPr>
            <w:r>
              <w:rPr>
                <w:rFonts w:ascii="仿宋_GB2312" w:hAnsi="仿宋_GB2312" w:cs="仿宋_GB2312" w:eastAsia="仿宋_GB2312"/>
              </w:rPr>
              <w:t>确保项目正常实施的协调工作及在施工过程中发生紧急情况时的应急措施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确保安全的生产技术组织措施</w:t>
            </w:r>
          </w:p>
        </w:tc>
        <w:tc>
          <w:tcPr>
            <w:tcW w:type="dxa" w:w="2492"/>
          </w:tcPr>
          <w:p>
            <w:pPr>
              <w:pStyle w:val="null3"/>
            </w:pPr>
            <w:r>
              <w:rPr>
                <w:rFonts w:ascii="仿宋_GB2312" w:hAnsi="仿宋_GB2312" w:cs="仿宋_GB2312" w:eastAsia="仿宋_GB2312"/>
              </w:rPr>
              <w:t>确保安全的生产技术组织措施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针对本项目质量保修承诺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针对本项目提供拟投入本项目主要机具、设备和劳动力配置情况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资料留存完备措施</w:t>
            </w:r>
          </w:p>
        </w:tc>
        <w:tc>
          <w:tcPr>
            <w:tcW w:type="dxa" w:w="2492"/>
          </w:tcPr>
          <w:p>
            <w:pPr>
              <w:pStyle w:val="null3"/>
            </w:pPr>
            <w:r>
              <w:rPr>
                <w:rFonts w:ascii="仿宋_GB2312" w:hAnsi="仿宋_GB2312" w:cs="仿宋_GB2312" w:eastAsia="仿宋_GB2312"/>
              </w:rPr>
              <w:t>针对本项目的资料留存完备措施 赋分标准：（1）合理性（2）针对性（3）可操作性 方案各部分内容全面、阐述条理清晰详尽、符合本项目采购需求且描述详细得6分，若赋分点响应程度有欠缺则该点得1分，未响应不得分。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2022年6月以来承接过类似项目的合同证明（以合同的签订日期为准）（每提供一个得2分，满分1 0分）（合同内容须清晰可辨认， 无涂改，否则视为无效合同）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