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版本号：ZJZBSX-250625-10895（2）20250717001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“智联机关”移动服务平台运维项目(二次)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ZJZBSX-250625-10895（2）</w:t>
      </w:r>
      <w:r>
        <w:br/>
      </w:r>
      <w:r>
        <w:br/>
      </w:r>
      <w:r>
        <w:br/>
      </w:r>
    </w:p>
    <w:p>
      <w:pPr>
        <w:pStyle w:val="null3"/>
        <w:jc w:val="center"/>
        <w:outlineLvl w:val="2"/>
      </w:pPr>
      <w:r>
        <w:rPr>
          <w:rFonts w:ascii="仿宋_GB2312" w:hAnsi="仿宋_GB2312" w:cs="仿宋_GB2312" w:eastAsia="仿宋_GB2312"/>
          <w:sz w:val="28"/>
          <w:b/>
        </w:rPr>
        <w:t>西安市机关事务服务中心</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西安市机关事务服务中心</w:t>
      </w:r>
      <w:r>
        <w:rPr>
          <w:rFonts w:ascii="仿宋_GB2312" w:hAnsi="仿宋_GB2312" w:cs="仿宋_GB2312" w:eastAsia="仿宋_GB2312"/>
        </w:rPr>
        <w:t>委托，拟对</w:t>
      </w:r>
      <w:r>
        <w:rPr>
          <w:rFonts w:ascii="仿宋_GB2312" w:hAnsi="仿宋_GB2312" w:cs="仿宋_GB2312" w:eastAsia="仿宋_GB2312"/>
        </w:rPr>
        <w:t>“智联机关”移动服务平台运维项目(二次)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ZJZBSX-250625-10895（2）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“智联机关”移动服务平台运维项目(二次)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2025年西安市机关事务服务中心“智联机关”移动服务平台运维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采购包1（“智联机关”移动服务平台运维）：属于专门面向中小企业采购。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西安市机关事务管理局经办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029-86788791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西安市机关事务服务中心</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2025年西安市机关事务服务中心“智联机关”移动服务平台运维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221,900.00</w:t>
      </w:r>
    </w:p>
    <w:p>
      <w:pPr>
        <w:pStyle w:val="null3"/>
      </w:pPr>
      <w:r>
        <w:rPr>
          <w:rFonts w:ascii="仿宋_GB2312" w:hAnsi="仿宋_GB2312" w:cs="仿宋_GB2312" w:eastAsia="仿宋_GB2312"/>
        </w:rPr>
        <w:t>采购包最高限价（元）: 221,900.00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"智联机关”移动服务平台运维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221,900.00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标的名称："智联机关”移动服务平台运维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一、运维主要内容</w:t>
            </w:r>
          </w:p>
          <w:p>
            <w:pPr>
              <w:pStyle w:val="null3"/>
              <w:ind w:firstLine="400"/>
              <w:jc w:val="both"/>
            </w:pPr>
            <w:r>
              <w:rPr>
                <w:rFonts w:ascii="仿宋_GB2312" w:hAnsi="仿宋_GB2312" w:cs="仿宋_GB2312" w:eastAsia="仿宋_GB2312"/>
                <w:sz w:val="20"/>
              </w:rPr>
              <w:t>对西安市机关事务服务中心“智联机关”移动服务平台一期建设内容和二期建设内容进行运维，具体包括：</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、对“智联机关”各业务模块的日常维护和更新，保障系统的正常运行。</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、建立客户意见反馈渠道，收集对维护工作的系统要求和意见。</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、设立7×24小时服务电话，受理系统故障申告、技术咨询，并按要求及时解决。</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、维护银行换卡期间市政府及三个集中办公区“智联机关”各后台的人员数据管理和信息安全。</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、维护和管理办公区内新设备的日常使用，并根据使用情况收集设备和系统的优化信息。</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、门禁设备和餐厅设备的线路检查和故障排查，包括：电源线、网线、交换机等。</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、收集各部门和使用人的业务反馈，整理成“智联机关”需求方案，对系统的进一步优化提供依据。</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、负责对各业务科室管理员进行后台操作培训。</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、提供运维报告，包括：每周运维服务日志，重大故障维修报告、每季度系统维护总结报告。</w:t>
            </w:r>
          </w:p>
          <w:p>
            <w:pPr>
              <w:pStyle w:val="null3"/>
            </w:pPr>
            <w:r>
              <w:rPr>
                <w:rFonts w:ascii="仿宋_GB2312" w:hAnsi="仿宋_GB2312" w:cs="仿宋_GB2312" w:eastAsia="仿宋_GB2312"/>
                <w:sz w:val="20"/>
              </w:rPr>
              <w:t>10</w:t>
            </w:r>
            <w:r>
              <w:rPr>
                <w:rFonts w:ascii="仿宋_GB2312" w:hAnsi="仿宋_GB2312" w:cs="仿宋_GB2312" w:eastAsia="仿宋_GB2312"/>
                <w:sz w:val="20"/>
              </w:rPr>
              <w:t>、重要事件保障：采购人因特殊事件(领导参观、现场演示、重大安保等)原因，需要供应商派遣经验丰富的工程师赴现场，对采购人重要事件进行保障。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运维目标</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、系统稳定性指标：“智联机关”移动服务平台运行稳定，运维期内因运维工作问题而导致的整体故障小于4次，整体故障主要为平台无法登录超过24小时。</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、响应速度指标：对平台架构不断进行优化，平台响应速度，包括页面加载速度、查询速度等不断提升。页面加载时间0-400ms评为优秀，加载时间400ms-2000ms评为合格，加载时间超过2s评为不合格。</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故障排查与解决能力指标：建立故障应对预案，自备相关硬件备品，故障发现率不超过1小时、一般性故障处理时间不超过4小时，因硬件故障等导致的故障处理时间不超过24小时。为了提高故障排查与解决能力，我们需要建立完善的监控体系，及时发现并处理系统故障。同时，还需要以备不时之需。</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、信息安全防护能力指标：建立完善的安全管理制度。能及时发现系统安全漏洞、不断提升恶意攻击拦截率。相关安全漏洞在公布后的修复时间不超过48小时。</w:t>
            </w:r>
          </w:p>
          <w:p>
            <w:pPr>
              <w:pStyle w:val="null3"/>
            </w:pPr>
            <w:r>
              <w:rPr>
                <w:rFonts w:ascii="仿宋_GB2312" w:hAnsi="仿宋_GB2312" w:cs="仿宋_GB2312" w:eastAsia="仿宋_GB2312"/>
                <w:sz w:val="20"/>
              </w:rPr>
              <w:t>5</w:t>
            </w:r>
            <w:r>
              <w:rPr>
                <w:rFonts w:ascii="仿宋_GB2312" w:hAnsi="仿宋_GB2312" w:cs="仿宋_GB2312" w:eastAsia="仿宋_GB2312"/>
                <w:sz w:val="20"/>
              </w:rPr>
              <w:t>、服务满意度指标：“智联机关”移动服务平台问卷调查满意率不低于95%。</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三、运维服务的要求</w:t>
            </w:r>
          </w:p>
          <w:p>
            <w:pPr>
              <w:pStyle w:val="null3"/>
              <w:jc w:val="both"/>
            </w:pPr>
            <w:r>
              <w:rPr>
                <w:rFonts w:ascii="仿宋_GB2312" w:hAnsi="仿宋_GB2312" w:cs="仿宋_GB2312" w:eastAsia="仿宋_GB2312"/>
                <w:sz w:val="20"/>
              </w:rPr>
              <w:t>（一）软件运维</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、模块日常运维：保障模块日常稳定运行，每隔24时间进行巡检；市政府内举行重要活动时为系统运行随时提供技术保障。</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、数据日常运维：完成10个子平台64个线上服务窗口数据的维护、服务工作；对数据库及程序每季度进行备份，对涉及数据进行日常处理。</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、技术支持：对全市各区（县）党政机关“智联机关”分平台提供业务咨询、指导和日常技术支持，保障填报工作，平均日均咨询量5条。</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、功能完善：根据机关事务服务中心相关处室要求，完成模块在使用过程中的不断功能完善及 BUG 修复等工作。</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、驻场运维人员3名。</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、“智联机关”社会化服务商城运行维护。</w:t>
            </w:r>
          </w:p>
          <w:p>
            <w:pPr>
              <w:pStyle w:val="null3"/>
              <w:jc w:val="both"/>
            </w:pPr>
            <w:r>
              <w:rPr>
                <w:rFonts w:ascii="仿宋_GB2312" w:hAnsi="仿宋_GB2312" w:cs="仿宋_GB2312" w:eastAsia="仿宋_GB2312"/>
                <w:sz w:val="20"/>
              </w:rPr>
              <w:t>（二）硬件运维</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、市政府门禁设备和餐厅消费设备所涉及的所有线路检查。</w:t>
            </w:r>
          </w:p>
          <w:p>
            <w:pPr>
              <w:pStyle w:val="null3"/>
              <w:jc w:val="both"/>
            </w:pPr>
            <w:r>
              <w:rPr>
                <w:rFonts w:ascii="仿宋_GB2312" w:hAnsi="仿宋_GB2312" w:cs="仿宋_GB2312" w:eastAsia="仿宋_GB2312"/>
                <w:sz w:val="20"/>
              </w:rPr>
              <w:t>（三）其他专业外包服务要求</w:t>
            </w:r>
          </w:p>
          <w:p>
            <w:pPr>
              <w:pStyle w:val="null3"/>
              <w:ind w:firstLine="400"/>
              <w:jc w:val="both"/>
            </w:pPr>
            <w:r>
              <w:rPr>
                <w:rFonts w:ascii="仿宋_GB2312" w:hAnsi="仿宋_GB2312" w:cs="仿宋_GB2312" w:eastAsia="仿宋_GB2312"/>
                <w:sz w:val="20"/>
              </w:rPr>
              <w:t>系统短信：根据1.17万名用户，每个用户日均办理业务0.05次，每日平均发送短信585条，全年预估采购不低于20万条短信，整体短信到达率不低于99%。</w:t>
            </w:r>
          </w:p>
          <w:p>
            <w:pPr>
              <w:pStyle w:val="null3"/>
              <w:jc w:val="both"/>
            </w:pPr>
            <w:r>
              <w:rPr>
                <w:rFonts w:ascii="仿宋_GB2312" w:hAnsi="仿宋_GB2312" w:cs="仿宋_GB2312" w:eastAsia="仿宋_GB2312"/>
                <w:sz w:val="20"/>
              </w:rPr>
              <w:t>（四）应急保障要求</w:t>
            </w:r>
          </w:p>
          <w:p>
            <w:pPr>
              <w:pStyle w:val="null3"/>
            </w:pPr>
            <w:r>
              <w:rPr>
                <w:rFonts w:ascii="仿宋_GB2312" w:hAnsi="仿宋_GB2312" w:cs="仿宋_GB2312" w:eastAsia="仿宋_GB2312"/>
                <w:sz w:val="20"/>
              </w:rPr>
              <w:t xml:space="preserve">  项目运维团队应具有一定的稳定性，能持续做好“智联机关”的运维工作，运维采取驻场办公，驻场办公人员包括硬件1名维护人员和2名软件维护人员。运维采取7*24小时运维制度，工作时间8小时以外，需保证运维人员可以通过电话联系，在出现系统故障时能在2小时内到达西安市政府，做好应急处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自合同签订之日起1年，具体起止日期合同签订时约定。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 xml:space="preserve"> 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8014；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软件和信息技术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根据项目实际情况及服务内容要求提供服务实施方案，至少包含①模块日常运维方案；②数据日常运维方案；③技术支持方案；④功能完善方案；⑤“智联机关”社会化服务商城运行维护方案；⑥硬件运维方案；⑦其他专业外包服务方案；以上方案每提供一项根据详细程度及是否贴合本项目要求计0.1-5分，最多35分，未提供不计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1.服务实施方案.docx</w:t>
            </w:r>
          </w:p>
          <w:p>
            <w:pPr>
              <w:pStyle w:val="null3"/>
            </w:pPr>
            <w:r>
              <w:rPr>
                <w:rFonts w:ascii="仿宋_GB2312" w:hAnsi="仿宋_GB2312" w:cs="仿宋_GB2312" w:eastAsia="仿宋_GB2312"/>
              </w:rPr>
              <w:t>4.服务内容响应表.docx</w:t>
            </w:r>
          </w:p>
        </w:tc>
      </w:tr>
      <w:tr>
        <w:tc>
          <w:tcPr>
            <w:tcW w:type="dxa" w:w="831"/>
            <w:vMerge/>
          </w:tcPr>
          <w:p/>
        </w:tc>
        <w:tc>
          <w:tcPr>
            <w:tcW w:type="dxa" w:w="1661"/>
          </w:tcPr>
          <w:p>
            <w:pPr>
              <w:pStyle w:val="null3"/>
            </w:pPr>
            <w:r>
              <w:rPr>
                <w:rFonts w:ascii="仿宋_GB2312" w:hAnsi="仿宋_GB2312" w:cs="仿宋_GB2312" w:eastAsia="仿宋_GB2312"/>
              </w:rPr>
              <w:t>驻场人员</w:t>
            </w:r>
          </w:p>
        </w:tc>
        <w:tc>
          <w:tcPr>
            <w:tcW w:type="dxa" w:w="2492"/>
          </w:tcPr>
          <w:p>
            <w:pPr>
              <w:pStyle w:val="null3"/>
            </w:pPr>
            <w:r>
              <w:rPr>
                <w:rFonts w:ascii="仿宋_GB2312" w:hAnsi="仿宋_GB2312" w:cs="仿宋_GB2312" w:eastAsia="仿宋_GB2312"/>
              </w:rPr>
              <w:t>根据项目实际情况及应急保障要求提供驻场人员安排，内容至少包含：①驻场人员信息；②驻场人员工作职责；③驻场人员日常管理；④驻场人员更换制度；以上方案每提供一项根据详细程度及是否贴合本项目要求计0.1-2分，最多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2.驻场人员.docx</w:t>
            </w:r>
          </w:p>
        </w:tc>
      </w:tr>
      <w:tr>
        <w:tc>
          <w:tcPr>
            <w:tcW w:type="dxa" w:w="831"/>
            <w:vMerge/>
          </w:tcPr>
          <w:p/>
        </w:tc>
        <w:tc>
          <w:tcPr>
            <w:tcW w:type="dxa" w:w="1661"/>
          </w:tcPr>
          <w:p>
            <w:pPr>
              <w:pStyle w:val="null3"/>
            </w:pPr>
            <w:r>
              <w:rPr>
                <w:rFonts w:ascii="仿宋_GB2312" w:hAnsi="仿宋_GB2312" w:cs="仿宋_GB2312" w:eastAsia="仿宋_GB2312"/>
              </w:rPr>
              <w:t>运维报告</w:t>
            </w:r>
          </w:p>
        </w:tc>
        <w:tc>
          <w:tcPr>
            <w:tcW w:type="dxa" w:w="2492"/>
          </w:tcPr>
          <w:p>
            <w:pPr>
              <w:pStyle w:val="null3"/>
            </w:pPr>
            <w:r>
              <w:rPr>
                <w:rFonts w:ascii="仿宋_GB2312" w:hAnsi="仿宋_GB2312" w:cs="仿宋_GB2312" w:eastAsia="仿宋_GB2312"/>
              </w:rPr>
              <w:t>根据项目实际情况及服务内容要求提供拟开展工作思路或提纲：①每周运维服务日志；②重大故障维修报告；③每季度系统维护总结报告。以上方案每提供一项根据详细程度及是否贴合本项目要求计0.1-2分，最多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3.运维报告.docx</w:t>
            </w:r>
          </w:p>
        </w:tc>
      </w:tr>
      <w:tr>
        <w:tc>
          <w:tcPr>
            <w:tcW w:type="dxa" w:w="831"/>
            <w:vMerge/>
          </w:tcPr>
          <w:p/>
        </w:tc>
        <w:tc>
          <w:tcPr>
            <w:tcW w:type="dxa" w:w="1661"/>
          </w:tcPr>
          <w:p>
            <w:pPr>
              <w:pStyle w:val="null3"/>
            </w:pPr>
            <w:r>
              <w:rPr>
                <w:rFonts w:ascii="仿宋_GB2312" w:hAnsi="仿宋_GB2312" w:cs="仿宋_GB2312" w:eastAsia="仿宋_GB2312"/>
              </w:rPr>
              <w:t>重要事件保障方案</w:t>
            </w:r>
          </w:p>
        </w:tc>
        <w:tc>
          <w:tcPr>
            <w:tcW w:type="dxa" w:w="2492"/>
          </w:tcPr>
          <w:p>
            <w:pPr>
              <w:pStyle w:val="null3"/>
            </w:pPr>
            <w:r>
              <w:rPr>
                <w:rFonts w:ascii="仿宋_GB2312" w:hAnsi="仿宋_GB2312" w:cs="仿宋_GB2312" w:eastAsia="仿宋_GB2312"/>
              </w:rPr>
              <w:t>根据项目实际情况及服务内容要求提供重要事件保障方案，至少包含①采购人重要事件的分析与理解；②具体保障措施。以上方案每提供一项根据详细程度及是否贴合本项目要求计0.1-3分，最多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4.重要事件保障方案.docx</w:t>
            </w:r>
          </w:p>
        </w:tc>
      </w:tr>
      <w:tr>
        <w:tc>
          <w:tcPr>
            <w:tcW w:type="dxa" w:w="831"/>
            <w:vMerge/>
          </w:tcPr>
          <w:p/>
        </w:tc>
        <w:tc>
          <w:tcPr>
            <w:tcW w:type="dxa" w:w="1661"/>
          </w:tcPr>
          <w:p>
            <w:pPr>
              <w:pStyle w:val="null3"/>
            </w:pPr>
            <w:r>
              <w:rPr>
                <w:rFonts w:ascii="仿宋_GB2312" w:hAnsi="仿宋_GB2312" w:cs="仿宋_GB2312" w:eastAsia="仿宋_GB2312"/>
              </w:rPr>
              <w:t>达成运维目标保障方案</w:t>
            </w:r>
          </w:p>
        </w:tc>
        <w:tc>
          <w:tcPr>
            <w:tcW w:type="dxa" w:w="2492"/>
          </w:tcPr>
          <w:p>
            <w:pPr>
              <w:pStyle w:val="null3"/>
            </w:pPr>
            <w:r>
              <w:rPr>
                <w:rFonts w:ascii="仿宋_GB2312" w:hAnsi="仿宋_GB2312" w:cs="仿宋_GB2312" w:eastAsia="仿宋_GB2312"/>
              </w:rPr>
              <w:t>根据项目实际情况及运维目标要求提供达成运维目标的保障方案，至少包含：①达成系统稳定性指标保障方案；②达成响应速度指标的保障方案；③达成故障排查与解决能力指标的保障方案；④达成信息安全防护能力指标的保障方案；⑤达成服务满意度指标的保障方案；以上方案每提供一项根据详细程度及是否贴合本项目要求计0.1-2分，最多10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5.达成运维目标保障方案.docx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及团队人员具有国家相关部门承认的从事系统软件开发运维和电子设备维修相关证明材料，每提供一个计2分，最多得6分，项目组成员应为本单位在职员工，提供近6个月任意一个月本单位为其缴纳的社保证明或劳务合同； 2.提供团队人员配备清单计1分，清单能够列明人员信息、岗位职责、本行业工作年限、本单位为其缴纳近6个月任意一个月社保缴纳证明或劳务合同，每提供1位成员且信息完整计1分，最高计3分，此项满分4分。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供应商提供2022年至今承接的类似运维案例（仅限供应商自己实施的），提供合同复印件，每个案例计2分，最高不超过10分。以合同签订时间为准。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详见附件：4.服务内容响应表.docx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详见附件：1.服务实施方案.docx</w:t>
      </w:r>
    </w:p>
    <w:p>
      <w:pPr>
        <w:pStyle w:val="null3"/>
        <w:ind w:firstLine="960"/>
      </w:pPr>
      <w:r>
        <w:rPr>
          <w:rFonts w:ascii="仿宋_GB2312" w:hAnsi="仿宋_GB2312" w:cs="仿宋_GB2312" w:eastAsia="仿宋_GB2312"/>
        </w:rPr>
        <w:t>详见附件：2.驻场人员.docx</w:t>
      </w:r>
    </w:p>
    <w:p>
      <w:pPr>
        <w:pStyle w:val="null3"/>
        <w:ind w:firstLine="960"/>
      </w:pPr>
      <w:r>
        <w:rPr>
          <w:rFonts w:ascii="仿宋_GB2312" w:hAnsi="仿宋_GB2312" w:cs="仿宋_GB2312" w:eastAsia="仿宋_GB2312"/>
        </w:rPr>
        <w:t>详见附件：3.运维报告.docx</w:t>
      </w:r>
    </w:p>
    <w:p>
      <w:pPr>
        <w:pStyle w:val="null3"/>
        <w:ind w:firstLine="960"/>
      </w:pPr>
      <w:r>
        <w:rPr>
          <w:rFonts w:ascii="仿宋_GB2312" w:hAnsi="仿宋_GB2312" w:cs="仿宋_GB2312" w:eastAsia="仿宋_GB2312"/>
        </w:rPr>
        <w:t>详见附件：4.重要事件保障方案.docx</w:t>
      </w:r>
    </w:p>
    <w:p>
      <w:pPr>
        <w:pStyle w:val="null3"/>
        <w:ind w:firstLine="960"/>
      </w:pPr>
      <w:r>
        <w:rPr>
          <w:rFonts w:ascii="仿宋_GB2312" w:hAnsi="仿宋_GB2312" w:cs="仿宋_GB2312" w:eastAsia="仿宋_GB2312"/>
        </w:rPr>
        <w:t>详见附件：5.达成运维目标保障方案.docx</w:t>
      </w:r>
    </w:p>
    <w:p>
      <w:pPr>
        <w:pStyle w:val="null3"/>
        <w:ind w:firstLine="960"/>
      </w:pPr>
      <w:r>
        <w:rPr>
          <w:rFonts w:ascii="仿宋_GB2312" w:hAnsi="仿宋_GB2312" w:cs="仿宋_GB2312" w:eastAsia="仿宋_GB2312"/>
        </w:rPr>
        <w:t>详见附件：6.项目团队.docx</w:t>
      </w:r>
    </w:p>
    <w:p>
      <w:pPr>
        <w:pStyle w:val="null3"/>
        <w:ind w:firstLine="960"/>
      </w:pPr>
      <w:r>
        <w:rPr>
          <w:rFonts w:ascii="仿宋_GB2312" w:hAnsi="仿宋_GB2312" w:cs="仿宋_GB2312" w:eastAsia="仿宋_GB2312"/>
        </w:rPr>
        <w:t>详见附件：7.业绩.docx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