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5757A">
      <w:pPr>
        <w:spacing w:after="312" w:afterLines="100"/>
        <w:jc w:val="center"/>
        <w:outlineLvl w:val="0"/>
        <w:rPr>
          <w:rFonts w:ascii="宋体" w:hAnsi="宋体" w:eastAsia="宋体" w:cs="宋体"/>
          <w:b/>
          <w:bCs/>
          <w:sz w:val="44"/>
          <w:szCs w:val="44"/>
          <w:lang w:eastAsia="zh-CN"/>
        </w:rPr>
      </w:pPr>
      <w:r>
        <w:rPr>
          <w:rFonts w:hint="eastAsia" w:ascii="宋体" w:hAnsi="宋体" w:eastAsia="宋体" w:cs="宋体"/>
          <w:b/>
          <w:bCs/>
          <w:sz w:val="44"/>
          <w:szCs w:val="44"/>
          <w:lang w:eastAsia="zh-CN"/>
        </w:rPr>
        <w:t xml:space="preserve">第八章 </w:t>
      </w:r>
      <w:r>
        <w:rPr>
          <w:rFonts w:hint="eastAsia" w:ascii="宋体" w:hAnsi="宋体" w:eastAsia="宋体" w:cs="宋体"/>
          <w:b/>
          <w:bCs/>
          <w:sz w:val="44"/>
          <w:szCs w:val="44"/>
          <w:lang w:val="en-US" w:eastAsia="zh-CN"/>
        </w:rPr>
        <w:t>拟签订合同文本</w:t>
      </w:r>
    </w:p>
    <w:p w14:paraId="167B7959">
      <w:pPr>
        <w:widowControl/>
        <w:spacing w:line="360" w:lineRule="auto"/>
        <w:jc w:val="center"/>
        <w:rPr>
          <w:rFonts w:hint="eastAsia"/>
          <w:sz w:val="44"/>
          <w:szCs w:val="44"/>
        </w:rPr>
      </w:pPr>
      <w:r>
        <w:rPr>
          <w:rFonts w:hint="eastAsia"/>
          <w:sz w:val="40"/>
          <w:szCs w:val="40"/>
          <w:lang w:eastAsia="zh-CN"/>
        </w:rPr>
        <w:t>2025年</w:t>
      </w:r>
      <w:r>
        <w:rPr>
          <w:rFonts w:hint="eastAsia"/>
          <w:sz w:val="40"/>
          <w:szCs w:val="40"/>
        </w:rPr>
        <w:t>西安市交通空气质量监测子站运维项目合同</w:t>
      </w:r>
    </w:p>
    <w:p w14:paraId="19EB16A3">
      <w:pPr>
        <w:widowControl/>
        <w:spacing w:line="360" w:lineRule="auto"/>
        <w:ind w:firstLine="2160" w:firstLineChars="900"/>
        <w:jc w:val="both"/>
        <w:rPr>
          <w:rFonts w:hint="eastAsia"/>
          <w:sz w:val="24"/>
          <w:szCs w:val="24"/>
        </w:rPr>
      </w:pPr>
      <w:r>
        <w:rPr>
          <w:rFonts w:hint="eastAsia"/>
          <w:sz w:val="24"/>
          <w:szCs w:val="24"/>
        </w:rPr>
        <w:t>项目编号:</w:t>
      </w:r>
    </w:p>
    <w:p w14:paraId="74F72F6B">
      <w:pPr>
        <w:widowControl/>
        <w:jc w:val="center"/>
        <w:rPr>
          <w:rFonts w:hint="eastAsia"/>
        </w:rPr>
      </w:pPr>
    </w:p>
    <w:p w14:paraId="2B7AF5F9">
      <w:pPr>
        <w:widowControl/>
        <w:jc w:val="center"/>
        <w:rPr>
          <w:rFonts w:hint="eastAsia"/>
        </w:rPr>
      </w:pPr>
    </w:p>
    <w:p w14:paraId="03570891">
      <w:pPr>
        <w:widowControl/>
        <w:jc w:val="center"/>
        <w:rPr>
          <w:rFonts w:hint="eastAsia"/>
        </w:rPr>
      </w:pPr>
    </w:p>
    <w:p w14:paraId="39B8B9D7">
      <w:pPr>
        <w:widowControl/>
        <w:jc w:val="center"/>
        <w:rPr>
          <w:rFonts w:hint="eastAsia"/>
        </w:rPr>
      </w:pPr>
    </w:p>
    <w:p w14:paraId="5BD26D22">
      <w:pPr>
        <w:widowControl/>
        <w:jc w:val="center"/>
        <w:rPr>
          <w:rFonts w:hint="eastAsia"/>
        </w:rPr>
      </w:pPr>
    </w:p>
    <w:p w14:paraId="0C0859D8">
      <w:pPr>
        <w:widowControl/>
        <w:jc w:val="center"/>
        <w:rPr>
          <w:rFonts w:hint="eastAsia"/>
        </w:rPr>
      </w:pPr>
    </w:p>
    <w:p w14:paraId="5D248775">
      <w:pPr>
        <w:widowControl/>
        <w:jc w:val="center"/>
        <w:rPr>
          <w:rFonts w:hint="eastAsia"/>
        </w:rPr>
      </w:pPr>
    </w:p>
    <w:p w14:paraId="21A40BA1">
      <w:pPr>
        <w:widowControl/>
        <w:jc w:val="center"/>
        <w:rPr>
          <w:rFonts w:hint="eastAsia"/>
          <w:sz w:val="52"/>
          <w:szCs w:val="52"/>
        </w:rPr>
      </w:pPr>
      <w:r>
        <w:rPr>
          <w:rFonts w:hint="eastAsia"/>
          <w:sz w:val="52"/>
          <w:szCs w:val="52"/>
        </w:rPr>
        <w:t>服</w:t>
      </w:r>
    </w:p>
    <w:p w14:paraId="03531C9E">
      <w:pPr>
        <w:widowControl/>
        <w:jc w:val="center"/>
        <w:rPr>
          <w:rFonts w:hint="eastAsia"/>
          <w:sz w:val="52"/>
          <w:szCs w:val="52"/>
        </w:rPr>
      </w:pPr>
    </w:p>
    <w:p w14:paraId="7FCEAE70">
      <w:pPr>
        <w:widowControl/>
        <w:jc w:val="center"/>
        <w:rPr>
          <w:rFonts w:hint="eastAsia"/>
          <w:sz w:val="52"/>
          <w:szCs w:val="52"/>
        </w:rPr>
      </w:pPr>
      <w:r>
        <w:rPr>
          <w:rFonts w:hint="eastAsia"/>
          <w:sz w:val="52"/>
          <w:szCs w:val="52"/>
        </w:rPr>
        <w:t>务</w:t>
      </w:r>
    </w:p>
    <w:p w14:paraId="2F9EDE74">
      <w:pPr>
        <w:widowControl/>
        <w:jc w:val="center"/>
        <w:rPr>
          <w:rFonts w:hint="eastAsia"/>
          <w:sz w:val="52"/>
          <w:szCs w:val="52"/>
        </w:rPr>
      </w:pPr>
    </w:p>
    <w:p w14:paraId="26F381CB">
      <w:pPr>
        <w:widowControl/>
        <w:jc w:val="center"/>
        <w:rPr>
          <w:rFonts w:hint="eastAsia"/>
          <w:sz w:val="52"/>
          <w:szCs w:val="52"/>
        </w:rPr>
      </w:pPr>
      <w:r>
        <w:rPr>
          <w:rFonts w:hint="eastAsia"/>
          <w:sz w:val="52"/>
          <w:szCs w:val="52"/>
        </w:rPr>
        <w:t>合</w:t>
      </w:r>
    </w:p>
    <w:p w14:paraId="65EAD6CD">
      <w:pPr>
        <w:widowControl/>
        <w:jc w:val="center"/>
        <w:rPr>
          <w:rFonts w:hint="eastAsia"/>
          <w:sz w:val="52"/>
          <w:szCs w:val="52"/>
        </w:rPr>
      </w:pPr>
    </w:p>
    <w:p w14:paraId="6AD033BE">
      <w:pPr>
        <w:widowControl/>
        <w:jc w:val="center"/>
        <w:rPr>
          <w:rFonts w:hint="eastAsia"/>
          <w:sz w:val="52"/>
          <w:szCs w:val="52"/>
        </w:rPr>
      </w:pPr>
      <w:r>
        <w:rPr>
          <w:rFonts w:hint="eastAsia"/>
          <w:sz w:val="52"/>
          <w:szCs w:val="52"/>
        </w:rPr>
        <w:t>同</w:t>
      </w:r>
    </w:p>
    <w:p w14:paraId="7DE576B9">
      <w:pPr>
        <w:widowControl/>
        <w:jc w:val="center"/>
        <w:rPr>
          <w:rFonts w:hint="eastAsia"/>
          <w:sz w:val="52"/>
          <w:szCs w:val="52"/>
        </w:rPr>
      </w:pPr>
    </w:p>
    <w:p w14:paraId="43924927">
      <w:pPr>
        <w:widowControl/>
        <w:jc w:val="center"/>
        <w:rPr>
          <w:rFonts w:hint="eastAsia"/>
        </w:rPr>
      </w:pPr>
    </w:p>
    <w:p w14:paraId="455A1ACB">
      <w:pPr>
        <w:widowControl/>
        <w:jc w:val="center"/>
        <w:rPr>
          <w:rFonts w:hint="eastAsia"/>
        </w:rPr>
      </w:pPr>
    </w:p>
    <w:p w14:paraId="1D5EC0E6">
      <w:pPr>
        <w:widowControl/>
        <w:jc w:val="center"/>
        <w:rPr>
          <w:rFonts w:hint="eastAsia"/>
        </w:rPr>
      </w:pPr>
    </w:p>
    <w:p w14:paraId="1584CD19">
      <w:pPr>
        <w:widowControl/>
        <w:jc w:val="center"/>
        <w:rPr>
          <w:rFonts w:hint="eastAsia"/>
        </w:rPr>
      </w:pPr>
    </w:p>
    <w:p w14:paraId="14B3C6AB">
      <w:pPr>
        <w:widowControl/>
        <w:jc w:val="center"/>
        <w:rPr>
          <w:rFonts w:hint="eastAsia"/>
        </w:rPr>
      </w:pPr>
    </w:p>
    <w:p w14:paraId="6E24587F">
      <w:pPr>
        <w:widowControl/>
        <w:jc w:val="center"/>
        <w:rPr>
          <w:rFonts w:hint="eastAsia"/>
        </w:rPr>
      </w:pPr>
    </w:p>
    <w:p w14:paraId="4EFDD923">
      <w:pPr>
        <w:widowControl/>
        <w:jc w:val="center"/>
        <w:rPr>
          <w:rFonts w:hint="eastAsia"/>
        </w:rPr>
      </w:pPr>
    </w:p>
    <w:p w14:paraId="0872AD36">
      <w:pPr>
        <w:widowControl/>
        <w:spacing w:line="360" w:lineRule="auto"/>
        <w:jc w:val="center"/>
        <w:rPr>
          <w:rFonts w:hint="eastAsia"/>
          <w:sz w:val="32"/>
          <w:szCs w:val="32"/>
        </w:rPr>
      </w:pPr>
      <w:r>
        <w:rPr>
          <w:rFonts w:hint="eastAsia"/>
          <w:sz w:val="32"/>
          <w:szCs w:val="32"/>
        </w:rPr>
        <w:t>甲方:西安市智慧环保综合指挥中心</w:t>
      </w:r>
    </w:p>
    <w:p w14:paraId="403E8E33">
      <w:pPr>
        <w:widowControl/>
        <w:spacing w:line="360" w:lineRule="auto"/>
        <w:jc w:val="left"/>
        <w:rPr>
          <w:rFonts w:hint="eastAsia"/>
          <w:sz w:val="32"/>
          <w:szCs w:val="32"/>
          <w:u w:val="single"/>
        </w:rPr>
      </w:pPr>
      <w:r>
        <w:rPr>
          <w:rFonts w:hint="eastAsia"/>
          <w:sz w:val="32"/>
          <w:szCs w:val="32"/>
          <w:lang w:eastAsia="zh-CN"/>
        </w:rPr>
        <w:t xml:space="preserve">             </w:t>
      </w:r>
      <w:r>
        <w:rPr>
          <w:rFonts w:hint="eastAsia"/>
          <w:sz w:val="32"/>
          <w:szCs w:val="32"/>
        </w:rPr>
        <w:t xml:space="preserve">乙方: </w:t>
      </w:r>
    </w:p>
    <w:p w14:paraId="09B7A5F2">
      <w:pPr>
        <w:widowControl/>
        <w:jc w:val="center"/>
        <w:rPr>
          <w:rFonts w:hint="eastAsia"/>
        </w:rPr>
      </w:pPr>
      <w:r>
        <w:rPr>
          <w:rFonts w:hint="eastAsia" w:asciiTheme="minorEastAsia" w:hAnsiTheme="minorEastAsia" w:eastAsiaTheme="minorEastAsia" w:cstheme="minorEastAsia"/>
          <w:sz w:val="32"/>
          <w:szCs w:val="32"/>
        </w:rPr>
        <w:t>2025</w:t>
      </w:r>
      <w:r>
        <w:rPr>
          <w:rFonts w:hint="eastAsia"/>
          <w:sz w:val="32"/>
          <w:szCs w:val="32"/>
        </w:rPr>
        <w:t>年  月  日</w:t>
      </w:r>
    </w:p>
    <w:p w14:paraId="51729A4D">
      <w:pPr>
        <w:widowControl/>
        <w:jc w:val="left"/>
        <w:rPr>
          <w:rFonts w:hint="eastAsia"/>
        </w:rPr>
      </w:pPr>
      <w:r>
        <w:rPr>
          <w:rFonts w:hint="eastAsia"/>
        </w:rPr>
        <w:br w:type="page"/>
      </w:r>
    </w:p>
    <w:p w14:paraId="43DCF2B0">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2025年</w:t>
      </w:r>
      <w:r>
        <w:rPr>
          <w:rFonts w:hint="eastAsia" w:asciiTheme="minorEastAsia" w:hAnsiTheme="minorEastAsia" w:eastAsiaTheme="minorEastAsia" w:cstheme="minorEastAsia"/>
          <w:b/>
          <w:bCs/>
          <w:sz w:val="28"/>
          <w:szCs w:val="28"/>
        </w:rPr>
        <w:t>西安市交通空气质量监测子站运维项目合同</w:t>
      </w:r>
    </w:p>
    <w:p w14:paraId="0E571B2A">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甲方:西安市智慧环保综合指挥中心</w:t>
      </w:r>
    </w:p>
    <w:p w14:paraId="3EB9C9D6">
      <w:pPr>
        <w:spacing w:line="360" w:lineRule="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乙方: </w:t>
      </w:r>
      <w:r>
        <w:rPr>
          <w:rFonts w:hint="eastAsia" w:asciiTheme="minorEastAsia" w:hAnsiTheme="minorEastAsia" w:eastAsiaTheme="minorEastAsia" w:cstheme="minorEastAsia"/>
          <w:sz w:val="24"/>
          <w:szCs w:val="24"/>
          <w:u w:val="single"/>
        </w:rPr>
        <w:t xml:space="preserve">                           </w:t>
      </w:r>
    </w:p>
    <w:p w14:paraId="7880FDB1">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根据202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年西安市交通空气质量监测子站运维项目(项目编号: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)采购中标结果，依据《中华人民共和国政府采购法》、《中华人民共和国民法典》的规定,经甲乙双方协商，本着诚实守信和平等互利的原则，双方协商一致同意，签订本合同。</w:t>
      </w:r>
    </w:p>
    <w:p w14:paraId="07915F2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项目名称、工作内容、服务期限和地点</w:t>
      </w:r>
    </w:p>
    <w:p w14:paraId="6EFCD5CD">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1.项目名称:</w:t>
      </w:r>
      <w:r>
        <w:rPr>
          <w:rFonts w:hint="eastAsia" w:asciiTheme="minorEastAsia" w:hAnsiTheme="minorEastAsia" w:eastAsiaTheme="minorEastAsia" w:cstheme="minorEastAsia"/>
          <w:sz w:val="24"/>
          <w:szCs w:val="24"/>
          <w:lang w:eastAsia="zh-CN"/>
        </w:rPr>
        <w:t>2025年</w:t>
      </w:r>
      <w:r>
        <w:rPr>
          <w:rFonts w:hint="eastAsia" w:asciiTheme="minorEastAsia" w:hAnsiTheme="minorEastAsia" w:eastAsiaTheme="minorEastAsia" w:cstheme="minorEastAsia"/>
          <w:sz w:val="24"/>
          <w:szCs w:val="24"/>
        </w:rPr>
        <w:t>西安市交通空气质量监测子站运维项目</w:t>
      </w:r>
    </w:p>
    <w:p w14:paraId="74A309DD">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2.运维内容</w:t>
      </w:r>
      <w:r>
        <w:rPr>
          <w:rFonts w:hint="eastAsia" w:asciiTheme="minorEastAsia" w:hAnsiTheme="minorEastAsia" w:eastAsiaTheme="minorEastAsia" w:cstheme="minorEastAsia"/>
          <w:sz w:val="24"/>
          <w:szCs w:val="24"/>
          <w:lang w:eastAsia="zh-CN"/>
        </w:rPr>
        <w:t>：</w:t>
      </w:r>
    </w:p>
    <w:p w14:paraId="2DBE4EC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2025年</w:t>
      </w:r>
      <w:r>
        <w:rPr>
          <w:rFonts w:hint="eastAsia" w:asciiTheme="minorEastAsia" w:hAnsiTheme="minorEastAsia" w:eastAsiaTheme="minorEastAsia" w:cstheme="minorEastAsia"/>
          <w:sz w:val="24"/>
          <w:szCs w:val="24"/>
        </w:rPr>
        <w:t>西安市交通空气质量监测子站运维项目，运维服务内容包括:西安市现有7座交通空气质量监测子站的运行维护服务。</w:t>
      </w:r>
    </w:p>
    <w:p w14:paraId="78E227D9">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3.运维服务期限、地点及服务方式</w:t>
      </w:r>
    </w:p>
    <w:p w14:paraId="171FA912">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3.1运维服务期限:</w:t>
      </w:r>
      <w:r>
        <w:rPr>
          <w:rFonts w:hint="eastAsia" w:asciiTheme="minorEastAsia" w:hAnsiTheme="minorEastAsia" w:eastAsiaTheme="minorEastAsia" w:cstheme="minorEastAsia"/>
          <w:sz w:val="24"/>
          <w:szCs w:val="24"/>
          <w:lang w:val="en-US" w:eastAsia="zh-CN"/>
        </w:rPr>
        <w:t>一年</w:t>
      </w:r>
      <w:r>
        <w:rPr>
          <w:rFonts w:hint="eastAsia" w:asciiTheme="minorEastAsia" w:hAnsiTheme="minorEastAsia" w:eastAsiaTheme="minorEastAsia" w:cstheme="minorEastAsia"/>
          <w:sz w:val="24"/>
          <w:szCs w:val="24"/>
        </w:rPr>
        <w:t>。</w:t>
      </w:r>
    </w:p>
    <w:p w14:paraId="34A5C71F">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 服务地点:西安市行政区划内(根据运维项目的分布及内容要求，服务地点分布在甲方指定的地点及西安市智慧环保综合指挥中心)</w:t>
      </w:r>
    </w:p>
    <w:p w14:paraId="389164B3">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4.服务方式:根据各分项服务内容提供现场和驻场服务。</w:t>
      </w:r>
    </w:p>
    <w:p w14:paraId="3CD10823">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双方的权利与义务</w:t>
      </w:r>
    </w:p>
    <w:p w14:paraId="3A31E9C7">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1.甲方的权利和义务</w:t>
      </w:r>
    </w:p>
    <w:p w14:paraId="27E24093">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1.1在实施过程中甲方根据需要及时向乙方提供项目有关背景资料。</w:t>
      </w:r>
    </w:p>
    <w:p w14:paraId="2DD4139B">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1.2甲方指定</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为甲方项目负责人，参加项目的全过程，督导乙方人员进行项目实施。</w:t>
      </w:r>
    </w:p>
    <w:p w14:paraId="3C00F0BC">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1.3甲方指派的项目负责人，全权代表甲方进行项目实施协调工作，并对乙方提交的项目过程文档进行签字确认。</w:t>
      </w:r>
    </w:p>
    <w:p w14:paraId="33AF2750">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 按照合同约定向乙方支付合同款项。</w:t>
      </w:r>
    </w:p>
    <w:p w14:paraId="78C01D3F">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1.5甲方负责组织项目绩效考核评分。</w:t>
      </w:r>
    </w:p>
    <w:p w14:paraId="7D2EEF85">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2.乙方的权利和义务</w:t>
      </w:r>
    </w:p>
    <w:p w14:paraId="0CA7C86A">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2.1乙方应当依据合同约定做好项目的运维实施工作,并协助甲方做好项目管理工作。乙方有义务完成西安市生态环境局交办给甲方、乙方的相关工作任务</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并接受西安市生态环境局的质量检查和考核，若检查或考核不合格的，应及时根据上级指示或要求作出调整、更改等。</w:t>
      </w:r>
    </w:p>
    <w:p w14:paraId="1BC0512B">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2.2乙方指定姓名:</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 xml:space="preserve"> 为乙方项目负责人，项目负责人负责沟通、协调、推进项目实施等工作，全权代表乙方处理合同相关事宜，负责人的权利包括但不限于有权对合同履行过程中及合同各方交涉过程中的文件签字,乙方对其指定的项目负责人签字等行为的效</w:t>
      </w:r>
      <w:r>
        <w:rPr>
          <w:rFonts w:hint="eastAsia" w:asciiTheme="minorEastAsia" w:hAnsiTheme="minorEastAsia" w:eastAsiaTheme="minorEastAsia" w:cstheme="minorEastAsia"/>
          <w:sz w:val="24"/>
          <w:szCs w:val="24"/>
          <w:lang w:val="en-US" w:eastAsia="zh-CN"/>
        </w:rPr>
        <w:t>力</w:t>
      </w:r>
      <w:r>
        <w:rPr>
          <w:rFonts w:hint="eastAsia" w:asciiTheme="minorEastAsia" w:hAnsiTheme="minorEastAsia" w:eastAsiaTheme="minorEastAsia" w:cstheme="minorEastAsia"/>
          <w:sz w:val="24"/>
          <w:szCs w:val="24"/>
        </w:rPr>
        <w:t>予以认可。乙方变更项目负责人或成员的，应当及时以书面形式通知甲方，得到甲方允许后方可更换，如乙方未及时通知并影响本合同行或造成损失，则应由乙方赔偿损失。</w:t>
      </w:r>
    </w:p>
    <w:p w14:paraId="3BF69D1D">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乙方应当合理组织足够的技术力量,指派专业技术小组执行本合同的工作，该技术小组应和甲方建立友好的协作关系。按照合同的时间安排，甲方代表和乙方技术小组之间建立技术交流的机制,高质量按时完成甲方提出的各项工作任务。乙方指定姓名:</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为乙方现场总代表，协助甲方人员解决可能出现的技术问题。如果甲方认为在工作现场的乙方任何成员不称职,甲方有权要求乙方另外指派合乎甲方要求的人员。</w:t>
      </w:r>
    </w:p>
    <w:p w14:paraId="2CA1FD66">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 在项目实施过程中，乙方应当按甲方提出的时间节点完成各项工作，并按项目进度提交相应的交付物，并对其内容的真实性、完整性、准确性负责，交付形式为计算机光盘和装订成册的纸介质。乙方对项目过程中的需求偏差、进度偏差等按项目的变更管理流程，与甲方及时协商、确认和调整。</w:t>
      </w:r>
    </w:p>
    <w:p w14:paraId="5BEAE231">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在项目实施过程中，乙方不得更换项目组主要成员，如遇特殊情况需要更换，需经过甲方书面同意。乙方因项目负责人、项目组主要成员及技术人员调整或流动、技术设施故障，或因注销、吊销、经营困难等原因导致无法完成本合同项目的，须及时书面通知甲方，并退还甲方已支付但乙方未履行的全部费用。如给甲方造成损失的，乙方应赔偿甲方全部损失。</w:t>
      </w:r>
    </w:p>
    <w:p w14:paraId="480F5E33">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2.6乙方应保证整个项目的整体实施效果达到项目工作的总体目标，对项目的实施工作承担总体责任。</w:t>
      </w:r>
    </w:p>
    <w:p w14:paraId="109DA2CC">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3.乙方承诺</w:t>
      </w:r>
    </w:p>
    <w:p w14:paraId="0A7B1E8A">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3.1乙方提供足够的技术力量，保证项目的顺利进行。</w:t>
      </w:r>
    </w:p>
    <w:p w14:paraId="304F50FA">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3.2乙方提供不少于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4 </w:t>
      </w:r>
      <w:r>
        <w:rPr>
          <w:rFonts w:hint="eastAsia" w:asciiTheme="minorEastAsia" w:hAnsiTheme="minorEastAsia" w:eastAsiaTheme="minorEastAsia" w:cstheme="minorEastAsia"/>
          <w:sz w:val="24"/>
          <w:szCs w:val="24"/>
        </w:rPr>
        <w:t>人的现场和驻场运维服务,其中</w:t>
      </w:r>
      <w:r>
        <w:rPr>
          <w:rFonts w:hint="eastAsia" w:asciiTheme="minorEastAsia" w:hAnsiTheme="minorEastAsia" w:eastAsiaTheme="minorEastAsia" w:cstheme="minorEastAsia"/>
          <w:sz w:val="24"/>
          <w:szCs w:val="24"/>
          <w:u w:val="single"/>
        </w:rPr>
        <w:t xml:space="preserve"> 1</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名驻场西安智慧环保综合指挥中心，另配备</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1</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名技术人员应对突发性事件(突发性事件发生后一小时内到达甲方现场)。如驻场人员无法满足工作需求时，甲方有权利要求乙方补充驻场人员。</w:t>
      </w:r>
    </w:p>
    <w:p w14:paraId="6DE24D2D">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3.3合同期满结束后，如乙方不再继续承担下一年的运维服务工作，乙方有义务按甲方要求做好交接工作。</w:t>
      </w:r>
    </w:p>
    <w:p w14:paraId="1DB7A6B2">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 乙方在履行合同期间应遵守甲方出台的各项制度以及相关的法律法规的规定。</w:t>
      </w:r>
    </w:p>
    <w:p w14:paraId="2982AB25">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服务费用构成及支付方式</w:t>
      </w:r>
    </w:p>
    <w:p w14:paraId="14EC71ED">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1.服务金额:</w:t>
      </w:r>
      <w:r>
        <w:rPr>
          <w:rFonts w:hint="eastAsia" w:asciiTheme="minorEastAsia" w:hAnsiTheme="minorEastAsia" w:eastAsiaTheme="minorEastAsia" w:cstheme="minorEastAsia"/>
          <w:sz w:val="24"/>
          <w:szCs w:val="24"/>
          <w:lang w:eastAsia="zh-CN"/>
        </w:rPr>
        <w:t>2025年</w:t>
      </w:r>
      <w:r>
        <w:rPr>
          <w:rFonts w:hint="eastAsia" w:asciiTheme="minorEastAsia" w:hAnsiTheme="minorEastAsia" w:eastAsiaTheme="minorEastAsia" w:cstheme="minorEastAsia"/>
          <w:sz w:val="24"/>
          <w:szCs w:val="24"/>
        </w:rPr>
        <w:t>西安市交通空气质量监测子站运维项目服务总金额为人民币</w:t>
      </w:r>
      <w:r>
        <w:rPr>
          <w:rFonts w:hint="eastAsia" w:asciiTheme="minorEastAsia" w:hAnsiTheme="minorEastAsia" w:eastAsiaTheme="minorEastAsia" w:cstheme="minorEastAsia"/>
          <w:sz w:val="24"/>
          <w:szCs w:val="24"/>
          <w:lang w:eastAsia="zh-CN"/>
        </w:rPr>
        <w:t>（大写）：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，即￥</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元(含税价)。</w:t>
      </w:r>
    </w:p>
    <w:p w14:paraId="4DDB4F83">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2.服务费用构成:合同总价款由7座交通空气质量监测子站服务费用组成(本费用包含但不限于税费、人工成本、交通费、通讯费、差旅费等费用，除本合同另有约定外，乙方不得以任何理由向甲方提出任何费用增加)</w:t>
      </w:r>
      <w:r>
        <w:rPr>
          <w:rFonts w:hint="eastAsia" w:asciiTheme="minorEastAsia" w:hAnsiTheme="minorEastAsia" w:eastAsiaTheme="minorEastAsia" w:cstheme="minorEastAsia"/>
          <w:sz w:val="24"/>
          <w:szCs w:val="24"/>
          <w:lang w:eastAsia="zh-CN"/>
        </w:rPr>
        <w:t>。</w:t>
      </w:r>
    </w:p>
    <w:p w14:paraId="71863A31">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3.款项结算</w:t>
      </w:r>
    </w:p>
    <w:p w14:paraId="21BF9D97">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 付款方式</w:t>
      </w:r>
    </w:p>
    <w:p w14:paraId="25680DE7">
      <w:pPr>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1、本项目按运维季度付款，自项目启动之日起算，供应商第一个运维季度双方通过工作量确认单对每季度工作量进行确认，供应商在书面确认后按季度绩效考核成绩得分核算费用，且开具全额发票 ，达到付款条件起 30 日内，支付合同总金额的 25.00%。</w:t>
      </w:r>
    </w:p>
    <w:p w14:paraId="04505BFB">
      <w:pPr>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2、本项目按运维季度付款，供应商第二个运维季度双方通过工作量确认单对每季度工作量进行确认，供应商在书面确认后按季度绩效考核成绩得分核算费用，且开具全额发票 ，达到付款条件起 30 日内，支付合同总金额的 25.00%。</w:t>
      </w:r>
    </w:p>
    <w:p w14:paraId="59DE885A">
      <w:pPr>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3、本项目按运维季度付款，供应商第三个运维季度双方通过工作量确认单对每季度工作量进行确认，供应商在书面确认后按季度绩效考核成绩得分核算费用，且开具全额发票 ，达到付款条件起 30 日内，支付合同总金额的 25.00%。</w:t>
      </w:r>
    </w:p>
    <w:p w14:paraId="5344D0B3">
      <w:pPr>
        <w:spacing w:line="360" w:lineRule="auto"/>
        <w:ind w:firstLine="720" w:firstLineChars="300"/>
        <w:rPr>
          <w:rFonts w:hint="eastAsia" w:asciiTheme="minorEastAsia" w:hAnsiTheme="minorEastAsia" w:eastAsiaTheme="minorEastAsia" w:cstheme="minorEastAsia"/>
          <w:color w:val="auto"/>
          <w:sz w:val="24"/>
          <w:szCs w:val="24"/>
        </w:rPr>
      </w:pPr>
      <w:r>
        <w:rPr>
          <w:rFonts w:hint="eastAsia" w:ascii="宋体" w:hAnsi="宋体" w:eastAsia="宋体" w:cs="宋体"/>
          <w:color w:val="auto"/>
          <w:sz w:val="24"/>
          <w:szCs w:val="24"/>
          <w:lang w:val="en-US" w:eastAsia="zh-CN"/>
        </w:rPr>
        <w:t>4、本项目按运维季度付款，支付第四季度运维费时对全年增减项综合评价，并按绩效考核成绩得分核算应付运维费用，且开具全额发票 ，达到付款条件起 30 日内，支付合同总金额的 25.00%。</w:t>
      </w:r>
    </w:p>
    <w:p w14:paraId="548C2374">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 支付方式:银行转账。</w:t>
      </w:r>
    </w:p>
    <w:p w14:paraId="33427860">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 结算方式:乙方应在每季度结束前，开具合法有效且符合甲方要求的等额增值税发票给甲方,甲方收到发票核验无误后根据核算后的运维费用支付给乙方。乙方迟延开具发票的，甲方不承担迟延付款的违约责任。</w:t>
      </w:r>
    </w:p>
    <w:p w14:paraId="1810D5C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乙方保证提供的收款信息合法有效,乙方变更收款信息需在每季度结束前</w:t>
      </w: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日书面通知甲方。因账户信息有误给双方造成的损失，均由乙方承担。</w:t>
      </w:r>
    </w:p>
    <w:p w14:paraId="58E58057">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 乙方开户银行信息:</w:t>
      </w:r>
    </w:p>
    <w:p w14:paraId="77797606">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公司名称:</w:t>
      </w:r>
    </w:p>
    <w:p w14:paraId="09B1BE04">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纳税人识别号</w:t>
      </w:r>
      <w:r>
        <w:rPr>
          <w:rFonts w:hint="eastAsia" w:asciiTheme="minorEastAsia" w:hAnsiTheme="minorEastAsia" w:eastAsiaTheme="minorEastAsia" w:cstheme="minorEastAsia"/>
          <w:sz w:val="24"/>
          <w:szCs w:val="24"/>
          <w:lang w:eastAsia="zh-CN"/>
        </w:rPr>
        <w:t>：</w:t>
      </w:r>
    </w:p>
    <w:p w14:paraId="02D3606C">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0226AEDC">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5FE61C4A">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14:paraId="210ED411">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p>
    <w:p w14:paraId="50EA45BE">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银行行号:</w:t>
      </w:r>
    </w:p>
    <w:p w14:paraId="46827DB6">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4.服务费用支付的其他约定</w:t>
      </w:r>
    </w:p>
    <w:p w14:paraId="171D9A58">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运维的季度内容考核不合格的(各部分考核得分相加≤70分)，应扣除该运维季度的全部运维费用。</w:t>
      </w:r>
    </w:p>
    <w:p w14:paraId="65B6D2A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运维费用以实际运维内容进行核算，因迁站、撤点或其他客观原因等导致无法正常开展运维服务的，扣减相应运维费用。</w:t>
      </w:r>
    </w:p>
    <w:p w14:paraId="31BCECD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考核办法</w:t>
      </w:r>
    </w:p>
    <w:p w14:paraId="37D7FF6E">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1.考核服务项目的划分:依据费用构成设置，每季度分别对7座交通空气质量监测子站运维服务单独进行绩效考核。</w:t>
      </w:r>
    </w:p>
    <w:p w14:paraId="746EDF52">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2.考核服务结算办法:甲方按照付款周期，依照绩效考核的各部分评分标准，每次对各部分分别进行考核评分，最后计算出当季度各部分评分总和。</w:t>
      </w:r>
    </w:p>
    <w:p w14:paraId="5C7A4E1D">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其他服务条款</w:t>
      </w:r>
    </w:p>
    <w:p w14:paraId="5B139C27">
      <w:pPr>
        <w:spacing w:line="360" w:lineRule="auto"/>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乙方应负责进行全面技术培训，至少包括:</w:t>
      </w:r>
    </w:p>
    <w:p w14:paraId="7E6AB26D">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为环保主管部门领导、操作人员、信息采集人员、执法人员、系统管理人员、其他部门相关人员等不同对象编写相应的培训计划和培训教材。</w:t>
      </w:r>
    </w:p>
    <w:p w14:paraId="2DEC9B02">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对服务涉及的各职能部门用户进行基础知识培训及专项操作培训。</w:t>
      </w:r>
    </w:p>
    <w:p w14:paraId="7DDEA2E5">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对服务涉及的设备产品等进行应用、操作培训。</w:t>
      </w:r>
    </w:p>
    <w:p w14:paraId="611C1FDA">
      <w:pPr>
        <w:pStyle w:val="5"/>
        <w:numPr>
          <w:ilvl w:val="0"/>
          <w:numId w:val="0"/>
        </w:numPr>
        <w:spacing w:line="360"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甲方责任</w:t>
      </w:r>
    </w:p>
    <w:p w14:paraId="0EFEE75C">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1.为乙方提供必要的服务条件。</w:t>
      </w:r>
    </w:p>
    <w:p w14:paraId="63FE5CE2">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2.移交项目服务所必需的相关资料文件。</w:t>
      </w:r>
    </w:p>
    <w:p w14:paraId="2F022806">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3.及时对乙方提交的技术文件进行审查、报批(乙方应提供必要的配合)。</w:t>
      </w:r>
    </w:p>
    <w:p w14:paraId="303E273D">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4.在项目服务过程中，协调处理与相关部门的配合事宜(乙方应提供必要的配合)</w:t>
      </w:r>
    </w:p>
    <w:p w14:paraId="5B742088">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5.对合同条款及价格负有保密义务。</w:t>
      </w:r>
    </w:p>
    <w:p w14:paraId="1110E54A">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6.及时办理付款。</w:t>
      </w:r>
    </w:p>
    <w:p w14:paraId="5039003A">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合同签署后，甲方指定项目负责人，作为与乙方对接、协调的联络人。</w:t>
      </w:r>
    </w:p>
    <w:p w14:paraId="35CAA1B0">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乙方</w:t>
      </w:r>
      <w:r>
        <w:rPr>
          <w:rFonts w:hint="eastAsia" w:asciiTheme="minorEastAsia" w:hAnsiTheme="minorEastAsia" w:eastAsiaTheme="minorEastAsia" w:cstheme="minorEastAsia"/>
          <w:sz w:val="24"/>
          <w:szCs w:val="24"/>
          <w:lang w:val="en-US" w:eastAsia="zh-CN"/>
        </w:rPr>
        <w:t>责</w:t>
      </w:r>
      <w:r>
        <w:rPr>
          <w:rFonts w:hint="eastAsia" w:asciiTheme="minorEastAsia" w:hAnsiTheme="minorEastAsia" w:eastAsiaTheme="minorEastAsia" w:cstheme="minorEastAsia"/>
          <w:sz w:val="24"/>
          <w:szCs w:val="24"/>
        </w:rPr>
        <w:t>任</w:t>
      </w:r>
    </w:p>
    <w:p w14:paraId="39A9B701">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1.保证所提供的服务均符合合同约定和</w:t>
      </w:r>
      <w:r>
        <w:rPr>
          <w:rFonts w:hint="eastAsia" w:asciiTheme="minorEastAsia" w:hAnsiTheme="minorEastAsia" w:eastAsiaTheme="minorEastAsia" w:cstheme="minorEastAsia"/>
          <w:sz w:val="24"/>
          <w:szCs w:val="24"/>
          <w:lang w:eastAsia="zh-CN"/>
        </w:rPr>
        <w:t>响应</w:t>
      </w:r>
      <w:r>
        <w:rPr>
          <w:rFonts w:hint="eastAsia" w:asciiTheme="minorEastAsia" w:hAnsiTheme="minorEastAsia" w:eastAsiaTheme="minorEastAsia" w:cstheme="minorEastAsia"/>
          <w:sz w:val="24"/>
          <w:szCs w:val="24"/>
        </w:rPr>
        <w:t>文件承诺，并符合行业相关标准和法律法规的规定。按合同约定向甲方提交项目服务相关数据及文件资料，并积极配合甲方的核查工作。乙方提交的所有资料(文档、档案、记录、台账、报告)应当加盖乙方公章。乙方对乙方指派的人员向甲方提交的与合同相关的计算机光盘、纸介质、电子数据等资料予以认可。</w:t>
      </w:r>
    </w:p>
    <w:p w14:paraId="3EDE6194">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应当根据运维内容及甲方需求制定具体的运维服务计划、制度、实施方案，并按照计划、制度、实施方案提供服务，该计划、制度、实施方案须经甲方书面确认，并根据甲方需求进行调整。乙方在运维过程中发现异常情况等问题应及时记录、报告、解决(包括但不限于更换、维修、使用备机等)，保证运维工作正常、稳定、安全运行。</w:t>
      </w:r>
    </w:p>
    <w:p w14:paraId="08554ADC">
      <w:pPr>
        <w:pStyle w:val="5"/>
        <w:numPr>
          <w:ilvl w:val="0"/>
          <w:numId w:val="0"/>
        </w:numPr>
        <w:spacing w:line="360" w:lineRule="auto"/>
        <w:ind w:left="0"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项目服务过程中，乙方应积极处理与相关部门的配合事宜。乙方负责运维服务过程中所需的用水、用电及场地等相关事宜，包括但不限于乙方全额承担运维期间交通空气监测站产生的全部电费、场地费，严格遵守安全用电规则等。其中环城南路和西三环交通空气监测站用电方式为外接路灯电源,用电合同由甲方与西安市城市照明管护中心签订。乙方全额承担运维期间环城南路和西三环交通空气监测站产生的全部电费，乙方指定(姓名:</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lang w:val="en-US" w:eastAsia="zh-CN"/>
        </w:rPr>
        <w:t xml:space="preserve">        </w:t>
      </w:r>
      <w:bookmarkStart w:id="0" w:name="_GoBack"/>
      <w:bookmarkEnd w:id="0"/>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)为联系人，按时向西安市城市照明管护中心缴纳运维期间环城南路和西三环交通空气监测站产生的全部电费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若乙方未按时或全额缴纳电费，由甲方代其缴纳的，乙方应全额支付给甲方或由甲方在合同费用中直接予以扣除。乙方承诺在运维站点期间严格遵守西安市城市照明管护中心外接电的所有安全要求,并承诺如果违反西安市城市照明管护中心外接电安全相关规定，由乙方承担所有后果。其他5个站点的用电合同由乙方直接与第三方签订并支付全部电费。</w:t>
      </w:r>
    </w:p>
    <w:p w14:paraId="4B2596B0">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由乙方购买的零配件、备品备件、易耗品以及备用仪器、试剂、实验室用品等合同有关的全部产品应当有原厂合格证明材料,乙方承诺所购买的产品在质保期内质量合格，若出现质量问题的，由乙方负责解决，并承担由此带来的一切责任。</w:t>
      </w:r>
    </w:p>
    <w:p w14:paraId="7C12C3B0">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5.乙方履行本合同需要与合同当事人以外的第三方签订合同的，乙方保证向第三方购买的产品、服务符合本协议约定，否则，由乙方向甲方承担责任，并按合同总额的 5%向甲方支付违约金。</w:t>
      </w:r>
    </w:p>
    <w:p w14:paraId="3CDC0409">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提供的服务、交付物不得侵犯第三方权利或合法权益，否则乙方应当承担全部责任，包括但不限于给甲方造成的所有损失、赔偿给第三方的费用、诉讼/仲裁费、代理费、差旅费、调查取证费等，同时乙方按合同总额的 5%向甲方支付违约金。如果乙方提供的服务、交付物变成或可能变成任何侵权索赔的标的则乙方应在自行承担上述相关费用外，根据甲方要求采取以下一个或多个措施:(</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)为甲方取得继续使用合同交付物的权利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)用未侵权的交付物替代合同交付物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)对侵权的服务、交付物在甲方要求的期限内进行修改，使其不再侵权。</w:t>
      </w:r>
    </w:p>
    <w:p w14:paraId="092C2AD0">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运维服务过程中，因产品质量原因造成的设备损坏，乙方负责质量检测并出具报告，并根据甲方的授权联系承建单位进行维修、更换。设备损坏期间，乙方须提供符合技术要求的同品类备机保障监测站点的正常运行,因备机缺失导致站点无法正常运行的，由乙方承担全部责任。</w:t>
      </w:r>
    </w:p>
    <w:p w14:paraId="7E732AC7">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7.乙方对前端感知系统数据、数采平台运行数据准确性、真实性、完整性负</w:t>
      </w:r>
      <w:r>
        <w:rPr>
          <w:rFonts w:hint="eastAsia" w:asciiTheme="minorEastAsia" w:hAnsiTheme="minorEastAsia" w:eastAsiaTheme="minorEastAsia" w:cstheme="minorEastAsia"/>
          <w:sz w:val="24"/>
          <w:szCs w:val="24"/>
          <w:lang w:val="en-US" w:eastAsia="zh-CN"/>
        </w:rPr>
        <w:t>责</w:t>
      </w:r>
      <w:r>
        <w:rPr>
          <w:rFonts w:hint="eastAsia" w:asciiTheme="minorEastAsia" w:hAnsiTheme="minorEastAsia" w:eastAsiaTheme="minorEastAsia" w:cstheme="minorEastAsia"/>
          <w:sz w:val="24"/>
          <w:szCs w:val="24"/>
        </w:rPr>
        <w:t>，承担数据用于考核、执法等事项引起的相应法律责任。乙方在运维过程中，不得弄虚作假，篡改数据，否则承担相应的法律责任。</w:t>
      </w:r>
    </w:p>
    <w:p w14:paraId="5318DCF6">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乙方应当承担保密责任。保密内容包括但不限于运维过程中获取的各类数据、资料、信息等，乙方有责任承担甲方提出的各项安全保密要求，不得将甲方提供的任何资料、文件、数据及与该合同有关的任何细节透露给第三方。涉密人员范围为乙方所有人员，保密期限为长期，泄密责任为承担违约责任等全部责任。</w:t>
      </w:r>
    </w:p>
    <w:p w14:paraId="7BE1ADC5">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合同签署后，乙方指定项目负责人，作为与甲方对接、协调的联络人。乙方依据甲方的书面授权，对项目的服务行使相关权利，如遇到甲方的其他相对人不配合的情况，甲方应当根据乙方实际服务的需求帮助协调，确保乙方的工作持续稳定。如因甲方其他相对人的原因造成损失，乙方不承担相应的责任。</w:t>
      </w:r>
    </w:p>
    <w:p w14:paraId="1BD447B1">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10.乙方应加强运维安全管理，对运维全过程的人身及财产安全负责。合同履行期间乙方及项目工作人员给其他方或自身造成财产损失或人身伤害的，由乙方承担责任，与甲方无关。</w:t>
      </w:r>
    </w:p>
    <w:p w14:paraId="39CF2525">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11.在运维服务中保障甲方运维质量的前提下，为了提高运维质量及功效,乙方经甲方书面同意并认可后，可对运维方案进行优化。</w:t>
      </w:r>
    </w:p>
    <w:p w14:paraId="5AD0E018">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12.运维过程中,甲方有权根据国家相关规范及运维实际情况调整运维服务要求，乙方应当按照甲方的通知及时做出调整和优化以更好地提供服务。</w:t>
      </w:r>
    </w:p>
    <w:p w14:paraId="1A31E8E4">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违约责任</w:t>
      </w:r>
    </w:p>
    <w:p w14:paraId="07C02316">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1.如甲方逾期履行合同义务，每逾期一日，向乙方支付违约金。甲方逾期履行本合同超过 15日的，应向乙方偿付合同款总额5%违约金，并且支付乙方已经为此项目发生的实际费用支出，该部分费用需由甲方认可的有资质的第三方机构进行评估。</w:t>
      </w:r>
    </w:p>
    <w:p w14:paraId="30C44A05">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2.如乙方提供的服务质量未达到合同要求时，甲方有权解除合同，要求乙方按照本合同总价 5%支付违约金并赔偿因此给甲方造成的一切损失(包括但不限于甲方支出的诉讼费、仲裁费、律师费、担保费、保全费、交通费、鉴定费、评估费、公证费等全部费用)。</w:t>
      </w:r>
    </w:p>
    <w:p w14:paraId="27D2AC74">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3.乙方不履行或未完全履行本合同，每逾期一日，向甲方支付违约金，逾期累计超过15日的，甲方有权单方解除合同，同时采取下列方式要求乙方承担违约责任:(1)要求乙方在甲方通知的时间内采取相应的补救措施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(2)乙方违反本合同约定的，应当赔偿给甲方造成的损失，包括但不限于甲方支出的诉讼费、仲裁费、律师费、担保费、保全费、交通费、鉴定费、评估费、公证费等全部费用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(3)依据法律及合同约定解除本合同，不再向乙方支付任何费用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(4)向甲方退还未履行部分的费用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(5)要求乙方按合同总额的 5%向甲方支付违约金，给甲方造成的损失高于合同金额的5%的，以实际损失为准。</w:t>
      </w:r>
    </w:p>
    <w:p w14:paraId="582EA7B8">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不可抗力</w:t>
      </w:r>
    </w:p>
    <w:p w14:paraId="10E525EC">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甲乙双方的任何一方由于不可抗力的原因不能履行合同时,应及时向对方通报不能履行或不能完全履行理由;在取得有关主管机关证明以后，由双方协商是否允许延期履行、部分履行或者不履行合同，并根据情况可部分或全部免于承担违约责任。</w:t>
      </w:r>
    </w:p>
    <w:p w14:paraId="41EC8DAD">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争议解决</w:t>
      </w:r>
    </w:p>
    <w:p w14:paraId="2B03EF81">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本合同各方应本着诚信的态度及共同合作的精神,通过协商及谈判来努力解决由本合同而产生的或与本合同有关(包括本合同项下某一特定货物买卖合同)的任何争议及不同意见。协商、谈判不能解决的，任何一方均有权向甲方所在地有管辖权的人民法院提起诉讼。</w:t>
      </w:r>
    </w:p>
    <w:p w14:paraId="5107F08B">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适用法律及标准</w:t>
      </w:r>
    </w:p>
    <w:p w14:paraId="38A3E5AE">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本合同应按照中华人民共和国的现行法律、法规进行解释，运维服务适用的标准以最新标准为准。</w:t>
      </w:r>
    </w:p>
    <w:p w14:paraId="02AF0E3F">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合同生效</w:t>
      </w:r>
    </w:p>
    <w:p w14:paraId="10C225AF">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1.本合同在甲乙双方签字盖章后生效。合同行中如遇国家法律、法规及政策另有强制性规定的，从其规定。</w:t>
      </w:r>
    </w:p>
    <w:p w14:paraId="032C7728">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2.本合同共8份，甲方执6份，乙方执2份，均具有同等法律效力。</w:t>
      </w:r>
    </w:p>
    <w:p w14:paraId="5BE3F612">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合同修改</w:t>
      </w:r>
    </w:p>
    <w:p w14:paraId="0BF717A1">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除非双方签署书面修改协议、双方负责人签署文件或合同另有约定，并使之成为本合同不可分割的一部分之外，本合同内容不得有任何变化或修改。</w:t>
      </w:r>
    </w:p>
    <w:p w14:paraId="21522E11">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其他需要说明的情况</w:t>
      </w:r>
    </w:p>
    <w:p w14:paraId="68BE0CF4">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履行过程中，就本合同内容如有未尽事宜或需进行变更，经甲乙双方协商一致后签订书面补充协议，补充协议在甲乙双方签字盖章后生效，并及时报上级主管部门。补充协议作为本合同所附之合同附件，与本合同具备同等法律效力。</w:t>
      </w:r>
    </w:p>
    <w:p w14:paraId="5E03D11E">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2.乙方未经甲方书面同意不得转让合同权利和义务，未经同意转让的，由乙方承担法律责任，甲方有权单方面解除本合同，并要求乙方按合同总额的5%向甲方支付违约金。</w:t>
      </w:r>
    </w:p>
    <w:p w14:paraId="537A5BFE">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应在本协议中如实提供联系地址及联系电话等信息，关于本协议履行中相关事宜的通知、要求或其他通讯，采用书面形式按照载明的地址发出，不论拒收或退回均视为有效送达。乙方联系方式发生变更的，应当及时书面通知对方，否则因此产生的一切不利后果自行承担。乙方确认本协议约定的联系地址及电话等信息同时作为有效司法送达地址。</w:t>
      </w:r>
    </w:p>
    <w:p w14:paraId="1827EEED">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送达</w:t>
      </w:r>
    </w:p>
    <w:p w14:paraId="4F05B0CB">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中涉及的所有“通知”、“同意”、“确认”等事项均应以书面形式做出，并作为依据。以书面信函形式或双方确认的传真或类似的通讯方式进行。采用信函方式的应当当面或使用具有良好信誉的快递递送，如当面递送，则一经而交即视为送达</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如以邮寄形式发送，不论拒收还是退回，在投递三天后即视为送达。用传真或类似的通讯方式，通知日期即为通讯发出日期。</w:t>
      </w:r>
    </w:p>
    <w:p w14:paraId="285C4C84">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2.双方因履行本合同或与本合同有关的一切通知都必须按照本合同中的地址送达。</w:t>
      </w:r>
    </w:p>
    <w:p w14:paraId="6C8A1C22">
      <w:pPr>
        <w:pStyle w:val="5"/>
        <w:numPr>
          <w:ilvl w:val="0"/>
          <w:numId w:val="0"/>
        </w:numPr>
        <w:spacing w:line="360" w:lineRule="auto"/>
        <w:ind w:leftChars="0"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(1)如双方因本合同发生任何纠纷诉至法院，本合同所载的各方地址将作为各自司法送达地址，该送达地址适用一审、二审、再审、执行等各个诉讼阶段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(2)一方送达地址变更的，应及时以书面形式通知另一方和法院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未按前述约定履行通知义务的，双方已确认的地址仍为有效送达地址。</w:t>
      </w:r>
    </w:p>
    <w:p w14:paraId="49760C67">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本合同的组成部分</w:t>
      </w:r>
    </w:p>
    <w:p w14:paraId="3A139CF1">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由于合同属于服务性合同,服务内容除涉及服务过程中用人、用车等所有权、管理权、使用权分离情况，需要以其他法律文本进行约定相关权责，关于以上约定作为本合同及合同附件，合同附件为本合同不可分割的部分并与本合同具备同等法律效力。</w:t>
      </w:r>
    </w:p>
    <w:p w14:paraId="1D78A976">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组成本合同的文件及解释合同文件的优先顺序如下:</w:t>
      </w:r>
    </w:p>
    <w:p w14:paraId="3909DA86">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(1)本协议书(包含</w:t>
      </w:r>
      <w:r>
        <w:rPr>
          <w:rFonts w:hint="eastAsia" w:asciiTheme="minorEastAsia" w:hAnsiTheme="minorEastAsia" w:eastAsiaTheme="minorEastAsia" w:cstheme="minorEastAsia"/>
          <w:sz w:val="24"/>
          <w:szCs w:val="24"/>
          <w:lang w:val="en-US" w:eastAsia="zh-CN"/>
        </w:rPr>
        <w:t>合同</w:t>
      </w:r>
      <w:r>
        <w:rPr>
          <w:rFonts w:hint="eastAsia" w:asciiTheme="minorEastAsia" w:hAnsiTheme="minorEastAsia" w:eastAsiaTheme="minorEastAsia" w:cstheme="minorEastAsia"/>
          <w:sz w:val="24"/>
          <w:szCs w:val="24"/>
        </w:rPr>
        <w:t>附件);</w:t>
      </w:r>
    </w:p>
    <w:p w14:paraId="4A112B88">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(2)公开招标</w:t>
      </w:r>
      <w:r>
        <w:rPr>
          <w:rFonts w:hint="eastAsia" w:asciiTheme="minorEastAsia" w:hAnsiTheme="minorEastAsia" w:eastAsiaTheme="minorEastAsia" w:cstheme="minorEastAsia"/>
          <w:sz w:val="24"/>
          <w:szCs w:val="24"/>
          <w:lang w:eastAsia="zh-CN"/>
        </w:rPr>
        <w:t>（采购）</w:t>
      </w:r>
      <w:r>
        <w:rPr>
          <w:rFonts w:hint="eastAsia" w:asciiTheme="minorEastAsia" w:hAnsiTheme="minorEastAsia" w:eastAsiaTheme="minorEastAsia" w:cstheme="minorEastAsia"/>
          <w:sz w:val="24"/>
          <w:szCs w:val="24"/>
        </w:rPr>
        <w:t>文件;</w:t>
      </w:r>
    </w:p>
    <w:p w14:paraId="0FBFECFB">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(3)乙方投标</w:t>
      </w:r>
      <w:r>
        <w:rPr>
          <w:rFonts w:hint="eastAsia" w:asciiTheme="minorEastAsia" w:hAnsiTheme="minorEastAsia" w:eastAsiaTheme="minorEastAsia" w:cstheme="minorEastAsia"/>
          <w:sz w:val="24"/>
          <w:szCs w:val="24"/>
          <w:lang w:eastAsia="zh-CN"/>
        </w:rPr>
        <w:t>（响应）</w:t>
      </w:r>
      <w:r>
        <w:rPr>
          <w:rFonts w:hint="eastAsia" w:asciiTheme="minorEastAsia" w:hAnsiTheme="minorEastAsia" w:eastAsiaTheme="minorEastAsia" w:cstheme="minorEastAsia"/>
          <w:sz w:val="24"/>
          <w:szCs w:val="24"/>
        </w:rPr>
        <w:t>文件:</w:t>
      </w:r>
    </w:p>
    <w:p w14:paraId="50F3143A">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中标/</w:t>
      </w:r>
      <w:r>
        <w:rPr>
          <w:rFonts w:hint="eastAsia" w:asciiTheme="minorEastAsia" w:hAnsiTheme="minorEastAsia" w:eastAsiaTheme="minorEastAsia" w:cstheme="minorEastAsia"/>
          <w:sz w:val="24"/>
          <w:szCs w:val="24"/>
        </w:rPr>
        <w:t>成交通知书;</w:t>
      </w:r>
    </w:p>
    <w:p w14:paraId="185BD402">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(5)经澄清、说明、调整、优化和承诺后的应答文件;</w:t>
      </w:r>
    </w:p>
    <w:p w14:paraId="15E10986">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(6)其他经双方书面一致确认的文件。</w:t>
      </w:r>
    </w:p>
    <w:p w14:paraId="75372761">
      <w:pPr>
        <w:pStyle w:val="5"/>
        <w:numPr>
          <w:ilvl w:val="0"/>
          <w:numId w:val="0"/>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上述合同组成文件互为补充和解释，其内容若有歧义，以所列顺序在前者为准。在合同订立及履行过程中形成的与合同有关的文件均构成合同文件组成部分并根据其性质确定优先解释顺序，属于同一类内容的文件，以最新签署的为准另有约定的除外。</w:t>
      </w:r>
    </w:p>
    <w:p w14:paraId="71D5C878">
      <w:pPr>
        <w:spacing w:line="360" w:lineRule="auto"/>
        <w:rPr>
          <w:rFonts w:hint="eastAsia" w:asciiTheme="minorEastAsia" w:hAnsiTheme="minorEastAsia" w:eastAsiaTheme="minorEastAsia" w:cstheme="minorEastAsia"/>
          <w:sz w:val="24"/>
          <w:szCs w:val="24"/>
        </w:rPr>
      </w:pPr>
    </w:p>
    <w:p w14:paraId="18536296">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w:t>
      </w:r>
    </w:p>
    <w:p w14:paraId="7B497BA7">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法定代表人（或委托代理人）：</w:t>
      </w:r>
    </w:p>
    <w:p w14:paraId="55C7072E">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14:paraId="01D091BB">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20930DF4">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10792897">
      <w:pPr>
        <w:spacing w:line="360" w:lineRule="auto"/>
        <w:rPr>
          <w:rFonts w:hint="eastAsia" w:asciiTheme="minorEastAsia" w:hAnsiTheme="minorEastAsia" w:eastAsiaTheme="minorEastAsia" w:cstheme="minorEastAsia"/>
          <w:sz w:val="24"/>
          <w:szCs w:val="24"/>
        </w:rPr>
      </w:pPr>
    </w:p>
    <w:p w14:paraId="6E4363BB">
      <w:pPr>
        <w:spacing w:line="360" w:lineRule="auto"/>
        <w:rPr>
          <w:rFonts w:hint="eastAsia" w:asciiTheme="minorEastAsia" w:hAnsiTheme="minorEastAsia" w:eastAsiaTheme="minorEastAsia" w:cstheme="minorEastAsia"/>
          <w:sz w:val="24"/>
          <w:szCs w:val="24"/>
        </w:rPr>
      </w:pPr>
    </w:p>
    <w:p w14:paraId="3DA6B304">
      <w:pPr>
        <w:spacing w:line="360" w:lineRule="auto"/>
        <w:rPr>
          <w:rFonts w:hint="eastAsia" w:asciiTheme="minorEastAsia" w:hAnsiTheme="minorEastAsia" w:eastAsiaTheme="minorEastAsia" w:cstheme="minorEastAsia"/>
          <w:sz w:val="24"/>
          <w:szCs w:val="24"/>
        </w:rPr>
      </w:pPr>
    </w:p>
    <w:p w14:paraId="14CC6F41">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乙方（盖章）：</w:t>
      </w:r>
    </w:p>
    <w:p w14:paraId="01D4CC7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法定代表人（或委托代理人）：</w:t>
      </w:r>
    </w:p>
    <w:p w14:paraId="5BB5698B">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14:paraId="599ED1B0">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7C37ED59">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26139C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B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2025-07-17T11:32:26Z</dcterms:created>
  <dc:creator>Administrator</dc:creator>
  <cp:lastModifiedBy>王</cp:lastModifiedBy>
  <dcterms:modified xsi:type="dcterms:W3CDTF">2025-07-17T11:35:01Z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eyJoZGlkIjoiODM2MzdkZmIwZWU1NTljMzY0YWE3NGQ3YmZmYTliMDIiLCJ1c2VySWQiOiIxMTk3OTAwMzcwIn0=</vt:lpwstr>
  </property>
  <property fmtid="{D5CDD505-2E9C-101B-9397-08002B2CF9AE}" pid="4" name="ICV">
    <vt:lpwstr>A155F18DF1014856A3C490A2F46BC00A_12</vt:lpwstr>
  </property>
</Properties>
</file>