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版本号：ZHZB-2025-8020250717001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建筑质量安全鉴定项目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ZHZB-2025-80</w:t>
      </w:r>
      <w:r>
        <w:br/>
      </w:r>
      <w:r>
        <w:br/>
      </w:r>
      <w:r>
        <w:br/>
      </w:r>
    </w:p>
    <w:p>
      <w:pPr>
        <w:pStyle w:val="null3"/>
        <w:jc w:val="center"/>
        <w:outlineLvl w:val="2"/>
      </w:pPr>
      <w:r>
        <w:rPr>
          <w:rFonts w:ascii="仿宋_GB2312" w:hAnsi="仿宋_GB2312" w:cs="仿宋_GB2312" w:eastAsia="仿宋_GB2312"/>
          <w:sz w:val="28"/>
          <w:b/>
        </w:rPr>
        <w:t>西安半坡博物馆</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西安半坡博物馆</w:t>
      </w:r>
      <w:r>
        <w:rPr>
          <w:rFonts w:ascii="仿宋_GB2312" w:hAnsi="仿宋_GB2312" w:cs="仿宋_GB2312" w:eastAsia="仿宋_GB2312"/>
        </w:rPr>
        <w:t>委托，拟对</w:t>
      </w:r>
      <w:r>
        <w:rPr>
          <w:rFonts w:ascii="仿宋_GB2312" w:hAnsi="仿宋_GB2312" w:cs="仿宋_GB2312" w:eastAsia="仿宋_GB2312"/>
        </w:rPr>
        <w:t>建筑质量安全鉴定项目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ZHZB-2025-80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建筑质量安全鉴定项目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半坡博物馆建筑质量安全鉴定项目。本项目所属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采购包1（建筑质量安全鉴定项目）：属于专门面向中小企业采购。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1、合同包1(西安半坡博物馆建筑质量安全鉴定)特定资格要求如下：（1）供应商的营业执照等证明文件，自然人的身份证明；(2) 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供应商具有省级质量技术监督局颁发的检测检验机构资质认定（CMA）证书并具有建设工程质量检测机构证书；（10）单位负责人为同一人或者存在直接控股、管理关系的不同供应商，不得参加同一合同项下的采购活动；（11）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西安半坡博物馆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西安市东郊半坡路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029-83618283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发展计划委员会计价格[2002]1980号文件及国家发展和改革委员会办公厅颁发的《关于降低部分建设项目收费标准规范收费行为等有关问题的通知》（发改价格[2011]534号）的规定服务类标准，不足捌仟元按照捌仟元（¥8000.00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西安半坡博物馆</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西安半坡博物馆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西安半坡博物馆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和磋商文件的要求、供应商提交的磋商响应文件、合同以及国家标准与行业规范的标准和规定执行；在实施过程中，如果国家或有关部门颁布了新的标准和规定，则供应商应采用新的标准和规定进行实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半坡博物馆建筑质量安全鉴定项目。本项目所属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254,000.00</w:t>
      </w:r>
    </w:p>
    <w:p>
      <w:pPr>
        <w:pStyle w:val="null3"/>
      </w:pPr>
      <w:r>
        <w:rPr>
          <w:rFonts w:ascii="仿宋_GB2312" w:hAnsi="仿宋_GB2312" w:cs="仿宋_GB2312" w:eastAsia="仿宋_GB2312"/>
        </w:rPr>
        <w:t>采购包最高限价（元）: 254,000.00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建筑质量安全鉴定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254,000.00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标的名称：建筑质量安全鉴定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一、服务内容：</w:t>
            </w:r>
            <w:r>
              <w:rPr>
                <w:rFonts w:ascii="仿宋_GB2312" w:hAnsi="仿宋_GB2312" w:cs="仿宋_GB2312" w:eastAsia="仿宋_GB2312"/>
                <w:sz w:val="21"/>
              </w:rPr>
              <w:t>本次进行</w:t>
            </w:r>
            <w:r>
              <w:rPr>
                <w:rFonts w:ascii="仿宋_GB2312" w:hAnsi="仿宋_GB2312" w:cs="仿宋_GB2312" w:eastAsia="仿宋_GB2312"/>
                <w:sz w:val="21"/>
              </w:rPr>
              <w:t>质量安全鉴定</w:t>
            </w:r>
            <w:r>
              <w:rPr>
                <w:rFonts w:ascii="仿宋_GB2312" w:hAnsi="仿宋_GB2312" w:cs="仿宋_GB2312" w:eastAsia="仿宋_GB2312"/>
                <w:sz w:val="21"/>
              </w:rPr>
              <w:t>的建筑结构形式为混凝土或砌体结构、钢结构；鉴定范围为：</w:t>
            </w:r>
            <w:r>
              <w:rPr>
                <w:rFonts w:ascii="仿宋_GB2312" w:hAnsi="仿宋_GB2312" w:cs="仿宋_GB2312" w:eastAsia="仿宋_GB2312"/>
                <w:sz w:val="21"/>
              </w:rPr>
              <w:t>1.陈列大厅修缮更新3000㎡；2.遗址大厅修缮更新5070㎡；3.陶窑展厅修缮更新110㎡；4.门面房修缮更新1180㎡；5.劳司楼修缮更新800㎡</w:t>
            </w:r>
            <w:r>
              <w:rPr>
                <w:rFonts w:ascii="仿宋_GB2312" w:hAnsi="仿宋_GB2312" w:cs="仿宋_GB2312" w:eastAsia="仿宋_GB2312"/>
                <w:sz w:val="21"/>
              </w:rPr>
              <w:t>；</w:t>
            </w:r>
            <w:r>
              <w:rPr>
                <w:rFonts w:ascii="仿宋_GB2312" w:hAnsi="仿宋_GB2312" w:cs="仿宋_GB2312" w:eastAsia="仿宋_GB2312"/>
                <w:sz w:val="21"/>
              </w:rPr>
              <w:t>6.甲方及设计方要求的其他建构筑物。</w:t>
            </w:r>
          </w:p>
          <w:p>
            <w:pPr>
              <w:pStyle w:val="null3"/>
              <w:spacing w:after="120"/>
            </w:pPr>
            <w:r>
              <w:rPr>
                <w:rFonts w:ascii="仿宋_GB2312" w:hAnsi="仿宋_GB2312" w:cs="仿宋_GB2312" w:eastAsia="仿宋_GB2312"/>
                <w:sz w:val="21"/>
                <w:b/>
              </w:rPr>
              <w:t>二、服务要求：</w:t>
            </w:r>
            <w:r>
              <w:rPr>
                <w:rFonts w:ascii="仿宋_GB2312" w:hAnsi="仿宋_GB2312" w:cs="仿宋_GB2312" w:eastAsia="仿宋_GB2312"/>
                <w:sz w:val="21"/>
              </w:rPr>
              <w:t>1.收集建筑的勘察报告，施工和竣工验收的相关原始资料；当资料不全时，应根据鉴定的需要进行补充实测。</w:t>
            </w:r>
            <w:r>
              <w:rPr>
                <w:rFonts w:ascii="仿宋_GB2312" w:hAnsi="仿宋_GB2312" w:cs="仿宋_GB2312" w:eastAsia="仿宋_GB2312"/>
                <w:sz w:val="21"/>
              </w:rPr>
              <w:t>2.调查建筑现状与原始资料相符合的程度、施工质量和维护状况，发现相关的非抗震缺陷。</w:t>
            </w:r>
            <w:r>
              <w:rPr>
                <w:rFonts w:ascii="仿宋_GB2312" w:hAnsi="仿宋_GB2312" w:cs="仿宋_GB2312" w:eastAsia="仿宋_GB2312"/>
                <w:sz w:val="21"/>
              </w:rPr>
              <w:t>3.根据各类建筑结构的特点、结构布置、构造和抗震承载力等因素，采用相应的逐级鉴定方法，进行综合抗震能力分析。</w:t>
            </w:r>
            <w:r>
              <w:rPr>
                <w:rFonts w:ascii="仿宋_GB2312" w:hAnsi="仿宋_GB2312" w:cs="仿宋_GB2312" w:eastAsia="仿宋_GB2312"/>
                <w:sz w:val="21"/>
              </w:rPr>
              <w:t>4.对现有建筑整体抗震性能做出评价 ，对符合抗震鉴定要求的建筑应修缮更新说明后续使用年限及条件，对不符合抗震鉴定要求的建筑提出相应的抗震减灾对策和处理意见。</w:t>
            </w:r>
            <w:r>
              <w:rPr>
                <w:rFonts w:ascii="仿宋_GB2312" w:hAnsi="仿宋_GB2312" w:cs="仿宋_GB2312" w:eastAsia="仿宋_GB2312"/>
                <w:sz w:val="21"/>
              </w:rPr>
              <w:t>5.现有钢筋混凝土房屋的抗震鉴定，应依据其设防烈度重点检查薄弱部位，并对其外观和内在质量进行评价。</w:t>
            </w:r>
            <w:r>
              <w:rPr>
                <w:rFonts w:ascii="仿宋_GB2312" w:hAnsi="仿宋_GB2312" w:cs="仿宋_GB2312" w:eastAsia="仿宋_GB2312"/>
                <w:sz w:val="21"/>
              </w:rPr>
              <w:t>6.现有钢筋混凝土房屋的抗震鉴定，应按结构体系的合理性，结构构件材料的实际强度，结构构件的纵向钢筋和横向箍筋的配置和构件连接的可靠性，填充墙等与主体结构的拉结构造以及构件抗震承载力的综合分析，对整房屋的抗震能力进行鉴定。</w:t>
            </w:r>
            <w:r>
              <w:rPr>
                <w:rFonts w:ascii="仿宋_GB2312" w:hAnsi="仿宋_GB2312" w:cs="仿宋_GB2312" w:eastAsia="仿宋_GB2312"/>
                <w:sz w:val="21"/>
              </w:rPr>
              <w:t>7.地基基础调查与检测；地基变形及其在上部结构中的反应。</w:t>
            </w:r>
            <w:r>
              <w:rPr>
                <w:rFonts w:ascii="仿宋_GB2312" w:hAnsi="仿宋_GB2312" w:cs="仿宋_GB2312" w:eastAsia="仿宋_GB2312"/>
                <w:sz w:val="21"/>
              </w:rPr>
              <w:t>8.鉴定单位根据原始建筑资料，改造后使用功能及结构主要构件抗震承载力的改变 ，提出可行性评价及加固意见。</w:t>
            </w:r>
            <w:r>
              <w:rPr>
                <w:rFonts w:ascii="仿宋_GB2312" w:hAnsi="仿宋_GB2312" w:cs="仿宋_GB2312" w:eastAsia="仿宋_GB2312"/>
                <w:sz w:val="21"/>
              </w:rPr>
              <w:t>9.鉴定报告编制深度须满足《民用建筑可靠性鉴定标准》（GB50292-2015）和《建筑抗震鉴定标准》（GB50023-2009）。</w:t>
            </w:r>
          </w:p>
          <w:p>
            <w:pPr>
              <w:pStyle w:val="null3"/>
              <w:spacing w:after="120"/>
            </w:pPr>
            <w:r>
              <w:rPr>
                <w:rFonts w:ascii="仿宋_GB2312" w:hAnsi="仿宋_GB2312" w:cs="仿宋_GB2312" w:eastAsia="仿宋_GB2312"/>
                <w:sz w:val="21"/>
                <w:b/>
              </w:rPr>
              <w:t>三、商务要求：</w:t>
            </w:r>
            <w:r>
              <w:rPr>
                <w:rFonts w:ascii="仿宋_GB2312" w:hAnsi="仿宋_GB2312" w:cs="仿宋_GB2312" w:eastAsia="仿宋_GB2312"/>
                <w:sz w:val="21"/>
              </w:rPr>
              <w:t>1、服务期限</w:t>
            </w:r>
            <w:r>
              <w:rPr>
                <w:rFonts w:ascii="仿宋_GB2312" w:hAnsi="仿宋_GB2312" w:cs="仿宋_GB2312" w:eastAsia="仿宋_GB2312"/>
                <w:sz w:val="21"/>
              </w:rPr>
              <w:t>：合</w:t>
            </w:r>
            <w:r>
              <w:rPr>
                <w:rFonts w:ascii="仿宋_GB2312" w:hAnsi="仿宋_GB2312" w:cs="仿宋_GB2312" w:eastAsia="仿宋_GB2312"/>
                <w:sz w:val="21"/>
              </w:rPr>
              <w:t>同签订后</w:t>
            </w:r>
            <w:r>
              <w:rPr>
                <w:rFonts w:ascii="仿宋_GB2312" w:hAnsi="仿宋_GB2312" w:cs="仿宋_GB2312" w:eastAsia="仿宋_GB2312"/>
                <w:sz w:val="21"/>
              </w:rPr>
              <w:t>30天内提交正式</w:t>
            </w:r>
            <w:r>
              <w:rPr>
                <w:rFonts w:ascii="仿宋_GB2312" w:hAnsi="仿宋_GB2312" w:cs="仿宋_GB2312" w:eastAsia="仿宋_GB2312"/>
                <w:sz w:val="21"/>
              </w:rPr>
              <w:t>鉴定</w:t>
            </w:r>
            <w:r>
              <w:rPr>
                <w:rFonts w:ascii="仿宋_GB2312" w:hAnsi="仿宋_GB2312" w:cs="仿宋_GB2312" w:eastAsia="仿宋_GB2312"/>
                <w:sz w:val="21"/>
              </w:rPr>
              <w:t>报告</w:t>
            </w:r>
            <w:r>
              <w:rPr>
                <w:rFonts w:ascii="仿宋_GB2312" w:hAnsi="仿宋_GB2312" w:cs="仿宋_GB2312" w:eastAsia="仿宋_GB2312"/>
                <w:sz w:val="21"/>
              </w:rPr>
              <w:t>。</w:t>
            </w:r>
            <w:r>
              <w:rPr>
                <w:rFonts w:ascii="仿宋_GB2312" w:hAnsi="仿宋_GB2312" w:cs="仿宋_GB2312" w:eastAsia="仿宋_GB2312"/>
                <w:sz w:val="21"/>
              </w:rPr>
              <w:t>2、服务地点</w:t>
            </w:r>
            <w:r>
              <w:rPr>
                <w:rFonts w:ascii="仿宋_GB2312" w:hAnsi="仿宋_GB2312" w:cs="仿宋_GB2312" w:eastAsia="仿宋_GB2312"/>
                <w:sz w:val="21"/>
              </w:rPr>
              <w:t>：</w:t>
            </w:r>
            <w:r>
              <w:rPr>
                <w:rFonts w:ascii="仿宋_GB2312" w:hAnsi="仿宋_GB2312" w:cs="仿宋_GB2312" w:eastAsia="仿宋_GB2312"/>
                <w:sz w:val="21"/>
              </w:rPr>
              <w:t>西安半坡博物馆。</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付款方式：</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本合同签订后且</w:t>
            </w:r>
            <w:r>
              <w:rPr>
                <w:rFonts w:ascii="仿宋_GB2312" w:hAnsi="仿宋_GB2312" w:cs="仿宋_GB2312" w:eastAsia="仿宋_GB2312"/>
                <w:sz w:val="21"/>
              </w:rPr>
              <w:t>2025年一批市级文保专项资金下达后21日内，</w:t>
            </w:r>
            <w:r>
              <w:rPr>
                <w:rFonts w:ascii="仿宋_GB2312" w:hAnsi="仿宋_GB2312" w:cs="仿宋_GB2312" w:eastAsia="仿宋_GB2312"/>
                <w:sz w:val="21"/>
              </w:rPr>
              <w:t>甲方</w:t>
            </w:r>
            <w:r>
              <w:rPr>
                <w:rFonts w:ascii="仿宋_GB2312" w:hAnsi="仿宋_GB2312" w:cs="仿宋_GB2312" w:eastAsia="仿宋_GB2312"/>
                <w:sz w:val="21"/>
              </w:rPr>
              <w:t>向</w:t>
            </w:r>
            <w:r>
              <w:rPr>
                <w:rFonts w:ascii="仿宋_GB2312" w:hAnsi="仿宋_GB2312" w:cs="仿宋_GB2312" w:eastAsia="仿宋_GB2312"/>
                <w:sz w:val="21"/>
              </w:rPr>
              <w:t>乙方</w:t>
            </w:r>
            <w:r>
              <w:rPr>
                <w:rFonts w:ascii="仿宋_GB2312" w:hAnsi="仿宋_GB2312" w:cs="仿宋_GB2312" w:eastAsia="仿宋_GB2312"/>
                <w:sz w:val="21"/>
              </w:rPr>
              <w:t>支付合同款的</w:t>
            </w:r>
            <w:r>
              <w:rPr>
                <w:rFonts w:ascii="仿宋_GB2312" w:hAnsi="仿宋_GB2312" w:cs="仿宋_GB2312" w:eastAsia="仿宋_GB2312"/>
                <w:sz w:val="21"/>
              </w:rPr>
              <w:t>40%</w:t>
            </w:r>
            <w:r>
              <w:rPr>
                <w:rFonts w:ascii="仿宋_GB2312" w:hAnsi="仿宋_GB2312" w:cs="仿宋_GB2312" w:eastAsia="仿宋_GB2312"/>
                <w:sz w:val="21"/>
              </w:rPr>
              <w:t>作为预付款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乙方提交正式鉴定报告后</w:t>
            </w:r>
            <w:r>
              <w:rPr>
                <w:rFonts w:ascii="仿宋_GB2312" w:hAnsi="仿宋_GB2312" w:cs="仿宋_GB2312" w:eastAsia="仿宋_GB2312"/>
                <w:sz w:val="21"/>
              </w:rPr>
              <w:t>21日内</w:t>
            </w:r>
            <w:r>
              <w:rPr>
                <w:rFonts w:ascii="仿宋_GB2312" w:hAnsi="仿宋_GB2312" w:cs="仿宋_GB2312" w:eastAsia="仿宋_GB2312"/>
                <w:sz w:val="21"/>
              </w:rPr>
              <w:t>，甲方向乙方支付第二笔款项，即合同价的</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3）待下一批专项资金下达后</w:t>
            </w:r>
            <w:r>
              <w:rPr>
                <w:rFonts w:ascii="仿宋_GB2312" w:hAnsi="仿宋_GB2312" w:cs="仿宋_GB2312" w:eastAsia="仿宋_GB2312"/>
                <w:sz w:val="21"/>
              </w:rPr>
              <w:t>21日</w:t>
            </w:r>
            <w:r>
              <w:rPr>
                <w:rFonts w:ascii="仿宋_GB2312" w:hAnsi="仿宋_GB2312" w:cs="仿宋_GB2312" w:eastAsia="仿宋_GB2312"/>
                <w:sz w:val="21"/>
              </w:rPr>
              <w:t>内支付剩余合同款项。</w:t>
            </w:r>
            <w:r>
              <w:rPr>
                <w:rFonts w:ascii="仿宋_GB2312" w:hAnsi="仿宋_GB2312" w:cs="仿宋_GB2312" w:eastAsia="仿宋_GB2312"/>
                <w:sz w:val="21"/>
              </w:rPr>
              <w:t>甲方每次付款前，乙方需向甲方开具财务部门认可的等额发票。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合同签订后30天内提交正式鉴定报告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西安半坡博物馆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和磋商文件的要求、供应商提交的磋商响应文件、合同以及国家标准与行业规范的标准和规定执行；在实施过程中，如果国家或有关部门颁布了新的标准和规定，则供应商应采用新的标准和规定进行实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本合同签订后且2025年一批市级文保专项资金下达后</w:t>
      </w:r>
      <w:r>
        <w:rPr>
          <w:rFonts w:ascii="仿宋_GB2312" w:hAnsi="仿宋_GB2312" w:cs="仿宋_GB2312" w:eastAsia="仿宋_GB2312"/>
        </w:rPr>
        <w:t xml:space="preserve"> ，达到付款条件起 </w:t>
      </w:r>
      <w:r>
        <w:rPr>
          <w:rFonts w:ascii="仿宋_GB2312" w:hAnsi="仿宋_GB2312" w:cs="仿宋_GB2312" w:eastAsia="仿宋_GB2312"/>
        </w:rPr>
        <w:t>21</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乙方提交正式鉴定报告后</w:t>
      </w:r>
      <w:r>
        <w:rPr>
          <w:rFonts w:ascii="仿宋_GB2312" w:hAnsi="仿宋_GB2312" w:cs="仿宋_GB2312" w:eastAsia="仿宋_GB2312"/>
        </w:rPr>
        <w:t xml:space="preserve"> ，达到付款条件起 </w:t>
      </w:r>
      <w:r>
        <w:rPr>
          <w:rFonts w:ascii="仿宋_GB2312" w:hAnsi="仿宋_GB2312" w:cs="仿宋_GB2312" w:eastAsia="仿宋_GB2312"/>
        </w:rPr>
        <w:t>21</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待下一批专项资金下达</w:t>
      </w:r>
      <w:r>
        <w:rPr>
          <w:rFonts w:ascii="仿宋_GB2312" w:hAnsi="仿宋_GB2312" w:cs="仿宋_GB2312" w:eastAsia="仿宋_GB2312"/>
        </w:rPr>
        <w:t xml:space="preserve"> ，达到付款条件起 </w:t>
      </w:r>
      <w:r>
        <w:rPr>
          <w:rFonts w:ascii="仿宋_GB2312" w:hAnsi="仿宋_GB2312" w:cs="仿宋_GB2312" w:eastAsia="仿宋_GB2312"/>
        </w:rPr>
        <w:t>21</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一、违约责任：1、任何一方若违反国家《中华人民共和国民法典》有关规定以及本合同的约定，违反方应承担相应的法律责任并向对方支付合同总价的15%作为合同违约金。 2、由于乙方原因造成检测成果资料质量不合格，不能满足技术要求时，其返工检测费用由乙方承担且无偿修改至合格，并且承担由此给甲方造成的所有损失。 二、解决争议的方法：双方因履行本合同而发生的争议，应协商、调解解决。协商、调解不成的，向甲方所在地有管辖权的人民法院起诉。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投标文件2套，应通过专用制作软件直接打印，确保与电子投标文件保持一致，不允许修改和补充。提交地点：陕西省西安市莲湖区丰登南路3号1幢306室（丰庆公园北门往西200米PM中心三楼）。 二、供应商的磋商报价包括检测费、人工费、管理费、材料与设备费、保险费、采购代理费、税金、利润、风险、责任等与本项目有关的一切费用。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提供2023年度或2024年度经审计的财务会计报告或其提交响应文件截止时间前3个月内银行出具的资信证明。（以上形式的资料提供任何一种即可） 要求：（1）供应商是企业法人的，应提供2023或2024全年度经审计的财务报告，包括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2023或2024全年度经审计的财务报告，至少包括 《资产负债表》《利润表》《现金流量表》及其附注，或者提交响应文件截止时间前3个月内其基本账户开户银行出具的资信证明（附基本存款账户信息）； （2）供应商是事业单位法人的，应提供2023或2024全年度经审计的财务报告，至少包括《资产负债表》《收入支出表或者收入费用表》《财政补助收入支出表》及其附注，或者提交响应文件截止时间前3个月内其基本账户开户银行出具的资信证明（附基本存款账户信息）； （3）其他组织和自然人，提供提交响应文件截止时间前3个月内银行出具的资信证明（附账户信息）；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合同包1(西安半坡博物馆建筑质量安全鉴定)特定资格要求如下</w:t>
            </w:r>
          </w:p>
        </w:tc>
        <w:tc>
          <w:tcPr>
            <w:tcW w:type="dxa" w:w="3322"/>
          </w:tcPr>
          <w:p>
            <w:pPr>
              <w:pStyle w:val="null3"/>
            </w:pPr>
            <w:r>
              <w:rPr>
                <w:rFonts w:ascii="仿宋_GB2312" w:hAnsi="仿宋_GB2312" w:cs="仿宋_GB2312" w:eastAsia="仿宋_GB2312"/>
              </w:rPr>
              <w:t>（1）供应商的营业执照等证明文件，自然人的身份证明；(2) 法定代表人参加磋商的，提供本人身份证复印件；法定代表人授权他人参加磋商的，提供法定代表人委托授权书并出示被授权代表的身份证复印件；（3）提供2023年度或2024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供应商具有省级质量技术监督局颁发的检测检验机构资质认定（CMA）证书并具有建设工程质量检测机构证书；（10）单位负责人为同一人或者存在直接控股、管理关系的不同供应商，不得参加同一合同项下的采购活动；（11）本项目不接受联合体磋商。</w:t>
            </w:r>
          </w:p>
        </w:tc>
        <w:tc>
          <w:tcPr>
            <w:tcW w:type="dxa" w:w="1661"/>
          </w:tcPr>
          <w:p>
            <w:pPr>
              <w:pStyle w:val="null3"/>
            </w:pPr>
            <w:r>
              <w:rPr>
                <w:rFonts w:ascii="仿宋_GB2312" w:hAnsi="仿宋_GB2312" w:cs="仿宋_GB2312" w:eastAsia="仿宋_GB2312"/>
              </w:rPr>
              <w:t>资格证明部分</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应符合磋商文件中的要求</w:t>
            </w:r>
          </w:p>
        </w:tc>
        <w:tc>
          <w:tcPr>
            <w:tcW w:type="dxa" w:w="1661"/>
          </w:tcPr>
          <w:p>
            <w:pPr>
              <w:pStyle w:val="null3"/>
            </w:pPr>
            <w:r>
              <w:rPr>
                <w:rFonts w:ascii="仿宋_GB2312" w:hAnsi="仿宋_GB2312" w:cs="仿宋_GB2312" w:eastAsia="仿宋_GB2312"/>
              </w:rPr>
              <w:t>响应文件封面 残疾人福利性单位声明函 中小企业声明函 商务技术部分 资格证明部分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商务技术部分 资格证明部分</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商务技术部分 资格证明部分</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商务技术部分 资格证明部分</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具有2021年1月1日至今的类似业绩(以合同签订日期为准)，业绩以合同复印件为依据。每个业绩计2分，5个以上(含5个)得10分。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根据供应商对本项目的理解程度，对鉴定服务的全面性、完整性、鉴定方法的针对性、科学性和可操作性，并针对本项目特点做出合理计划，能保障鉴定服务的顺利完成。 ①服务方案内容较差，科学、合理、针对性较差，计[0-5）分； ②服务方案内容较完整，科学、合理、针对性一般，计[5-10）分； ③服务方案内容完整，科学、合理、有针对性，计[10-15]分。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服务质量控制的方法和措施</w:t>
            </w:r>
          </w:p>
        </w:tc>
        <w:tc>
          <w:tcPr>
            <w:tcW w:type="dxa" w:w="2492"/>
          </w:tcPr>
          <w:p>
            <w:pPr>
              <w:pStyle w:val="null3"/>
            </w:pPr>
            <w:r>
              <w:rPr>
                <w:rFonts w:ascii="仿宋_GB2312" w:hAnsi="仿宋_GB2312" w:cs="仿宋_GB2312" w:eastAsia="仿宋_GB2312"/>
              </w:rPr>
              <w:t>对项目各阶段预期的目标把握能准确，控制方法和措施、流程描述完整、科学、可行；控制重点明确，能确保检测数据的质量。 ①服务质量控制方法和措施较差，科学、可行性较差，计[0-5）分； ②服务质量控制方法和措施较完整，科学、可行性一般，计[5-10）分； ③服务质量控制方法和措施完整，科学、可行，计[10-15]分。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进度控制的方法和措施</w:t>
            </w:r>
          </w:p>
        </w:tc>
        <w:tc>
          <w:tcPr>
            <w:tcW w:type="dxa" w:w="2492"/>
          </w:tcPr>
          <w:p>
            <w:pPr>
              <w:pStyle w:val="null3"/>
            </w:pPr>
            <w:r>
              <w:rPr>
                <w:rFonts w:ascii="仿宋_GB2312" w:hAnsi="仿宋_GB2312" w:cs="仿宋_GB2312" w:eastAsia="仿宋_GB2312"/>
              </w:rPr>
              <w:t>对项目各阶段进度控制方法和措施、工作流程描述完整、科学、可行。 ①进度控制方法和措施较差，科学、可行性较差，计[0-5）分； ②进度控制方法和措施较完整，科学、可行性一般，计[5-10）分； ③进度控制方法和措施完整，科学、可行，计[10-15]分。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拟派项目负责人为高级工程师及以上的，得5分，拟派项目负责人为中级工程师的，得3分，其他得0分；（以职称证书复印件或扫描件为评审依据）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资格证明部分</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拟投入本项目的组织管理机构设置及人员分工安排合理，职责划分明确，确保各项工作有序开展。 ①安排较差，职责划分不明晰，计[0-3）分； ②安排较合理，职责较明晰，可行性一般，计[3-7）分； ③安排合理，职责明晰，可行性强，计[7-10]分。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p>
            <w:pPr>
              <w:pStyle w:val="null3"/>
            </w:pPr>
            <w:r>
              <w:rPr>
                <w:rFonts w:ascii="仿宋_GB2312" w:hAnsi="仿宋_GB2312" w:cs="仿宋_GB2312" w:eastAsia="仿宋_GB2312"/>
              </w:rPr>
              <w:t>资格证明部分</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供应商根据项目情况提供检测设备清单，评审小组根据提供的检测设备情况进行赋分计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供应商针对本项目及采购人实际需求提供详细具体可行的服务承诺。 ①服务承诺内容不全，可行性差，计[0-1）分； ②服务承诺内容比较全面，有一定的可行性，计[1-3）分。 ③服务承诺内容明确，全面，可行性强，计[3-5]分。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根据对本项目理解程度，对项目的关键点、难点提出的合理化建议进行赋分。 ①合理化建议较差，可行性、科学性较差，计[0-3）分； ②合理化建议一般，可行性、科学性一般，计[3-7）分； ③合理化建议明确，可行性、科学性强，计[7-10]分。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终最低报价为磋商基准价，其磋商报价为满分。其他供应商的价格分，统一按照下列公式计算：磋商报价得分=(磋商基准价／磋商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w:t>
      </w:r>
    </w:p>
    <w:p>
      <w:pPr>
        <w:pStyle w:val="null3"/>
        <w:ind w:firstLine="960"/>
      </w:pPr>
      <w:r>
        <w:rPr>
          <w:rFonts w:ascii="仿宋_GB2312" w:hAnsi="仿宋_GB2312" w:cs="仿宋_GB2312" w:eastAsia="仿宋_GB2312"/>
        </w:rPr>
        <w:t>详见附件：商务技术部分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