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2795">
      <w:pPr>
        <w:pStyle w:val="3"/>
        <w:numPr>
          <w:ilvl w:val="0"/>
          <w:numId w:val="0"/>
        </w:num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拟签订的合同</w:t>
      </w:r>
      <w:bookmarkStart w:id="0" w:name="_Hlt487972895"/>
      <w:bookmarkEnd w:id="0"/>
      <w:bookmarkStart w:id="1" w:name="_Toc216513788"/>
      <w:bookmarkStart w:id="2" w:name="_Toc487900382"/>
      <w:r>
        <w:rPr>
          <w:rFonts w:hint="eastAsia" w:ascii="宋体" w:hAnsi="宋体" w:eastAsia="宋体" w:cs="宋体"/>
          <w:b/>
          <w:bCs/>
          <w:color w:val="auto"/>
          <w:sz w:val="32"/>
          <w:szCs w:val="32"/>
          <w:highlight w:val="none"/>
        </w:rPr>
        <w:t>文本</w:t>
      </w:r>
      <w:bookmarkEnd w:id="1"/>
      <w:bookmarkEnd w:id="2"/>
    </w:p>
    <w:p w14:paraId="AA66D1FF">
      <w:pPr>
        <w:jc w:val="center"/>
        <w:rPr>
          <w:rFonts w:hint="default" w:ascii="宋体" w:hAnsi="宋体" w:eastAsia="宋体" w:cs="宋体"/>
          <w:b/>
          <w:color w:val="000000"/>
          <w:kern w:val="0"/>
          <w:sz w:val="20"/>
          <w:szCs w:val="20"/>
          <w:lang w:val="en-US"/>
        </w:rPr>
      </w:pPr>
      <w:r>
        <w:rPr>
          <w:rFonts w:hint="eastAsia" w:ascii="宋体" w:hAnsi="宋体" w:eastAsia="宋体" w:cs="宋体"/>
          <w:b/>
          <w:color w:val="000000"/>
          <w:spacing w:val="-20"/>
          <w:sz w:val="44"/>
          <w:szCs w:val="28"/>
          <w:lang w:eastAsia="zh-CN"/>
        </w:rPr>
        <w:t>西安半坡博物馆建筑质量安全鉴定</w:t>
      </w:r>
      <w:r>
        <w:rPr>
          <w:rFonts w:hint="eastAsia" w:ascii="宋体" w:hAnsi="宋体" w:eastAsia="宋体" w:cs="宋体"/>
          <w:b/>
          <w:color w:val="000000"/>
          <w:spacing w:val="-20"/>
          <w:sz w:val="44"/>
          <w:szCs w:val="28"/>
          <w:lang w:val="en-US" w:eastAsia="zh-CN"/>
        </w:rPr>
        <w:t>项目</w:t>
      </w:r>
    </w:p>
    <w:p w14:paraId="E15F1C04">
      <w:pPr>
        <w:jc w:val="center"/>
        <w:rPr>
          <w:rFonts w:hint="eastAsia" w:ascii="宋体" w:hAnsi="宋体" w:eastAsia="宋体" w:cs="宋体"/>
          <w:b/>
          <w:color w:val="000000"/>
          <w:kern w:val="0"/>
          <w:sz w:val="20"/>
          <w:szCs w:val="20"/>
        </w:rPr>
      </w:pPr>
    </w:p>
    <w:p w14:paraId="392F7380">
      <w:pPr>
        <w:rPr>
          <w:rFonts w:hint="eastAsia" w:ascii="宋体" w:hAnsi="宋体" w:eastAsia="宋体" w:cs="宋体"/>
          <w:color w:val="000000"/>
          <w:sz w:val="20"/>
          <w:szCs w:val="20"/>
        </w:rPr>
      </w:pPr>
    </w:p>
    <w:p w14:paraId="BE748EA6">
      <w:pPr>
        <w:pStyle w:val="13"/>
        <w:rPr>
          <w:rFonts w:hint="eastAsia"/>
          <w:sz w:val="24"/>
          <w:szCs w:val="20"/>
        </w:rPr>
      </w:pPr>
    </w:p>
    <w:p w14:paraId="1B48639A">
      <w:pPr>
        <w:pStyle w:val="13"/>
        <w:rPr>
          <w:rFonts w:hint="eastAsia"/>
          <w:sz w:val="24"/>
          <w:szCs w:val="20"/>
        </w:rPr>
      </w:pPr>
    </w:p>
    <w:p w14:paraId="D59EA5AE">
      <w:pPr>
        <w:pStyle w:val="13"/>
        <w:rPr>
          <w:rFonts w:hint="eastAsia"/>
          <w:sz w:val="24"/>
          <w:szCs w:val="20"/>
        </w:rPr>
      </w:pPr>
    </w:p>
    <w:p w14:paraId="49A2DA9A">
      <w:pPr>
        <w:pStyle w:val="15"/>
        <w:ind w:firstLine="280"/>
        <w:rPr>
          <w:rFonts w:hint="eastAsia" w:ascii="宋体" w:hAnsi="宋体" w:eastAsia="宋体" w:cs="宋体"/>
          <w:sz w:val="16"/>
          <w:szCs w:val="16"/>
        </w:rPr>
      </w:pPr>
    </w:p>
    <w:p w14:paraId="2F8BA8A2">
      <w:pPr>
        <w:rPr>
          <w:rFonts w:hint="eastAsia" w:ascii="宋体" w:hAnsi="宋体" w:eastAsia="宋体" w:cs="宋体"/>
          <w:color w:val="000000"/>
          <w:sz w:val="20"/>
          <w:szCs w:val="20"/>
        </w:rPr>
      </w:pPr>
    </w:p>
    <w:p w14:paraId="88AB3B3F">
      <w:pPr>
        <w:jc w:val="center"/>
        <w:rPr>
          <w:rFonts w:hint="eastAsia" w:ascii="宋体" w:hAnsi="宋体" w:eastAsia="宋体" w:cs="宋体"/>
          <w:b/>
          <w:color w:val="000000"/>
          <w:kern w:val="0"/>
          <w:sz w:val="20"/>
          <w:szCs w:val="20"/>
        </w:rPr>
      </w:pPr>
    </w:p>
    <w:p w14:paraId="976C40EF">
      <w:pPr>
        <w:spacing w:line="540" w:lineRule="exact"/>
        <w:jc w:val="center"/>
        <w:rPr>
          <w:rFonts w:hint="eastAsia" w:ascii="宋体" w:hAnsi="宋体" w:eastAsia="宋体" w:cs="宋体"/>
          <w:b/>
          <w:color w:val="000000"/>
          <w:kern w:val="0"/>
          <w:sz w:val="48"/>
          <w:szCs w:val="48"/>
          <w:lang w:val="en-US" w:eastAsia="zh-CN"/>
        </w:rPr>
      </w:pPr>
      <w:r>
        <w:rPr>
          <w:rFonts w:hint="eastAsia" w:ascii="宋体" w:hAnsi="宋体" w:eastAsia="宋体" w:cs="宋体"/>
          <w:b/>
          <w:color w:val="000000"/>
          <w:kern w:val="0"/>
          <w:sz w:val="48"/>
          <w:szCs w:val="48"/>
        </w:rPr>
        <w:t xml:space="preserve">合 同 </w:t>
      </w:r>
      <w:r>
        <w:rPr>
          <w:rFonts w:hint="eastAsia" w:ascii="宋体" w:hAnsi="宋体" w:eastAsia="宋体" w:cs="宋体"/>
          <w:b/>
          <w:color w:val="000000"/>
          <w:kern w:val="0"/>
          <w:sz w:val="48"/>
          <w:szCs w:val="48"/>
          <w:lang w:eastAsia="zh-CN"/>
        </w:rPr>
        <w:t>书</w:t>
      </w:r>
    </w:p>
    <w:p w14:paraId="1E988843">
      <w:pPr>
        <w:spacing w:line="560" w:lineRule="exact"/>
        <w:jc w:val="center"/>
        <w:rPr>
          <w:rFonts w:hint="eastAsia" w:ascii="宋体" w:hAnsi="宋体" w:eastAsia="宋体" w:cs="宋体"/>
          <w:b/>
          <w:color w:val="000000"/>
          <w:kern w:val="0"/>
          <w:sz w:val="32"/>
          <w:szCs w:val="32"/>
        </w:rPr>
      </w:pPr>
    </w:p>
    <w:p w14:paraId="B1308240">
      <w:pPr>
        <w:spacing w:line="560" w:lineRule="exact"/>
        <w:jc w:val="center"/>
        <w:rPr>
          <w:rFonts w:hint="eastAsia" w:ascii="宋体" w:hAnsi="宋体" w:eastAsia="宋体" w:cs="宋体"/>
          <w:b/>
          <w:color w:val="000000"/>
          <w:sz w:val="20"/>
          <w:szCs w:val="20"/>
        </w:rPr>
      </w:pPr>
      <w:r>
        <w:rPr>
          <w:rFonts w:hint="eastAsia" w:ascii="宋体" w:hAnsi="宋体" w:eastAsia="宋体" w:cs="宋体"/>
          <w:b/>
          <w:color w:val="000000"/>
          <w:kern w:val="0"/>
          <w:sz w:val="32"/>
          <w:szCs w:val="32"/>
        </w:rPr>
        <w:t>合同编号：</w:t>
      </w:r>
    </w:p>
    <w:p w14:paraId="F58F9504">
      <w:pPr>
        <w:pStyle w:val="9"/>
        <w:rPr>
          <w:rFonts w:hint="eastAsia" w:ascii="宋体" w:hAnsi="宋体" w:eastAsia="宋体" w:cs="宋体"/>
          <w:b/>
          <w:color w:val="000000"/>
          <w:sz w:val="44"/>
          <w:szCs w:val="44"/>
        </w:rPr>
      </w:pPr>
    </w:p>
    <w:p w14:paraId="3F45908D">
      <w:pPr>
        <w:pStyle w:val="9"/>
        <w:rPr>
          <w:rFonts w:hint="eastAsia" w:ascii="宋体" w:hAnsi="宋体" w:eastAsia="宋体" w:cs="宋体"/>
          <w:color w:val="000000"/>
          <w:sz w:val="20"/>
          <w:szCs w:val="20"/>
        </w:rPr>
      </w:pPr>
    </w:p>
    <w:p w14:paraId="9A1EA43D">
      <w:pPr>
        <w:rPr>
          <w:rFonts w:hint="eastAsia" w:ascii="宋体" w:hAnsi="宋体" w:eastAsia="宋体" w:cs="宋体"/>
          <w:color w:val="000000"/>
          <w:sz w:val="20"/>
          <w:szCs w:val="20"/>
        </w:rPr>
      </w:pPr>
    </w:p>
    <w:p w14:paraId="B65B9AA4">
      <w:pPr>
        <w:pStyle w:val="13"/>
        <w:rPr>
          <w:rFonts w:hint="eastAsia"/>
          <w:sz w:val="24"/>
          <w:szCs w:val="20"/>
        </w:rPr>
      </w:pPr>
    </w:p>
    <w:p w14:paraId="EED1D4E3">
      <w:pPr>
        <w:pStyle w:val="9"/>
        <w:rPr>
          <w:rFonts w:hint="eastAsia" w:ascii="宋体" w:hAnsi="宋体" w:eastAsia="宋体" w:cs="宋体"/>
          <w:color w:val="000000"/>
          <w:sz w:val="20"/>
          <w:szCs w:val="20"/>
        </w:rPr>
      </w:pPr>
    </w:p>
    <w:p w14:paraId="EAA5E2A4">
      <w:pPr>
        <w:rPr>
          <w:rFonts w:hint="eastAsia" w:ascii="宋体" w:hAnsi="宋体" w:eastAsia="宋体" w:cs="宋体"/>
          <w:color w:val="000000"/>
          <w:sz w:val="20"/>
          <w:szCs w:val="20"/>
        </w:rPr>
      </w:pPr>
    </w:p>
    <w:p w14:paraId="E46C6DF1">
      <w:pPr>
        <w:pStyle w:val="13"/>
        <w:rPr>
          <w:rFonts w:hint="eastAsia" w:ascii="宋体" w:hAnsi="宋体" w:eastAsia="宋体" w:cs="宋体"/>
          <w:color w:val="000000"/>
          <w:sz w:val="20"/>
          <w:szCs w:val="20"/>
        </w:rPr>
      </w:pPr>
    </w:p>
    <w:p w14:paraId="2A55B12C">
      <w:pPr>
        <w:pStyle w:val="13"/>
        <w:rPr>
          <w:rFonts w:hint="eastAsia" w:ascii="宋体" w:hAnsi="宋体" w:eastAsia="宋体" w:cs="宋体"/>
          <w:color w:val="000000"/>
          <w:sz w:val="20"/>
          <w:szCs w:val="20"/>
        </w:rPr>
      </w:pPr>
    </w:p>
    <w:p w14:paraId="A03AB6D9">
      <w:pPr>
        <w:rPr>
          <w:rFonts w:hint="eastAsia" w:ascii="宋体" w:hAnsi="宋体" w:eastAsia="宋体" w:cs="宋体"/>
          <w:color w:val="000000"/>
          <w:sz w:val="20"/>
          <w:szCs w:val="20"/>
        </w:rPr>
      </w:pPr>
    </w:p>
    <w:p w14:paraId="B60B6C4F">
      <w:pPr>
        <w:rPr>
          <w:rFonts w:hint="eastAsia" w:ascii="宋体" w:hAnsi="宋体" w:eastAsia="宋体" w:cs="宋体"/>
          <w:color w:val="000000"/>
          <w:sz w:val="20"/>
          <w:szCs w:val="20"/>
        </w:rPr>
      </w:pPr>
    </w:p>
    <w:p w14:paraId="D88A2E24">
      <w:pPr>
        <w:rPr>
          <w:rFonts w:hint="eastAsia" w:ascii="宋体" w:hAnsi="宋体" w:eastAsia="宋体" w:cs="宋体"/>
          <w:color w:val="000000"/>
          <w:sz w:val="20"/>
          <w:szCs w:val="20"/>
        </w:rPr>
      </w:pPr>
    </w:p>
    <w:p w14:paraId="F06BE740">
      <w:pPr>
        <w:keepNext w:val="0"/>
        <w:keepLines w:val="0"/>
        <w:pageBreakBefore w:val="0"/>
        <w:widowControl/>
        <w:kinsoku w:val="0"/>
        <w:wordWrap/>
        <w:overflowPunct/>
        <w:topLinePunct w:val="0"/>
        <w:autoSpaceDE w:val="0"/>
        <w:autoSpaceDN w:val="0"/>
        <w:bidi w:val="0"/>
        <w:adjustRightInd w:val="0"/>
        <w:snapToGrid w:val="0"/>
        <w:spacing w:line="560" w:lineRule="exact"/>
        <w:ind w:firstLine="1148" w:firstLineChars="400"/>
        <w:jc w:val="left"/>
        <w:textAlignment w:val="baseline"/>
        <w:rPr>
          <w:rFonts w:hint="eastAsia" w:ascii="宋体" w:hAnsi="宋体" w:eastAsia="宋体" w:cs="宋体"/>
          <w:b/>
          <w:color w:val="000000"/>
          <w:spacing w:val="23"/>
          <w:sz w:val="24"/>
          <w:szCs w:val="28"/>
          <w:u w:val="single"/>
          <w:lang w:val="en-US" w:eastAsia="zh-CN"/>
        </w:rPr>
      </w:pPr>
      <w:r>
        <w:rPr>
          <w:rFonts w:hint="eastAsia" w:ascii="宋体" w:hAnsi="宋体" w:eastAsia="宋体" w:cs="宋体"/>
          <w:b/>
          <w:color w:val="000000"/>
          <w:spacing w:val="23"/>
          <w:sz w:val="24"/>
          <w:szCs w:val="28"/>
        </w:rPr>
        <w:t>甲方：</w:t>
      </w:r>
      <w:r>
        <w:rPr>
          <w:rFonts w:hint="eastAsia" w:ascii="宋体" w:hAnsi="宋体" w:eastAsia="宋体" w:cs="宋体"/>
          <w:b/>
          <w:color w:val="000000"/>
          <w:spacing w:val="23"/>
          <w:sz w:val="24"/>
          <w:szCs w:val="28"/>
          <w:u w:val="single"/>
          <w:lang w:val="en-US" w:eastAsia="zh-CN"/>
        </w:rPr>
        <w:t xml:space="preserve">                    </w:t>
      </w:r>
    </w:p>
    <w:p w14:paraId="70AEE165">
      <w:pPr>
        <w:keepNext w:val="0"/>
        <w:keepLines w:val="0"/>
        <w:pageBreakBefore w:val="0"/>
        <w:widowControl/>
        <w:kinsoku w:val="0"/>
        <w:wordWrap/>
        <w:overflowPunct/>
        <w:topLinePunct w:val="0"/>
        <w:autoSpaceDE w:val="0"/>
        <w:autoSpaceDN w:val="0"/>
        <w:bidi w:val="0"/>
        <w:adjustRightInd w:val="0"/>
        <w:snapToGrid w:val="0"/>
        <w:spacing w:line="560" w:lineRule="exact"/>
        <w:ind w:firstLine="1200" w:firstLineChars="600"/>
        <w:jc w:val="left"/>
        <w:textAlignment w:val="baseline"/>
        <w:rPr>
          <w:rFonts w:hint="default" w:ascii="宋体" w:hAnsi="宋体" w:eastAsia="宋体" w:cs="宋体"/>
          <w:b/>
          <w:color w:val="000000"/>
          <w:spacing w:val="23"/>
          <w:sz w:val="24"/>
          <w:szCs w:val="28"/>
          <w:lang w:val="en-US" w:eastAsia="zh-CN"/>
        </w:rPr>
      </w:pP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"http://set2.mail.qq.com/cgi-bin/mail_spam?action=check_link&amp;spam=0&amp;url=http://www.baidu.com/s?wd=%E4%B9%99%E6%96%B9&amp;hl_tag=textlink&amp;tn=SE_hldp01350_v6v6zkg6" </w:instrText>
      </w:r>
      <w:r>
        <w:rPr>
          <w:rFonts w:hint="eastAsia" w:ascii="宋体" w:hAnsi="宋体" w:eastAsia="宋体" w:cs="宋体"/>
          <w:sz w:val="20"/>
          <w:szCs w:val="20"/>
        </w:rPr>
        <w:fldChar w:fldCharType="separate"/>
      </w:r>
      <w:r>
        <w:rPr>
          <w:rStyle w:val="21"/>
          <w:rFonts w:hint="eastAsia" w:ascii="宋体" w:hAnsi="宋体" w:eastAsia="宋体" w:cs="宋体"/>
          <w:b/>
          <w:spacing w:val="23"/>
          <w:sz w:val="24"/>
          <w:szCs w:val="28"/>
        </w:rPr>
        <w:t>乙方</w:t>
      </w:r>
      <w:r>
        <w:rPr>
          <w:rStyle w:val="21"/>
          <w:rFonts w:hint="eastAsia" w:ascii="宋体" w:hAnsi="宋体" w:eastAsia="宋体" w:cs="宋体"/>
          <w:b/>
          <w:spacing w:val="23"/>
          <w:sz w:val="24"/>
          <w:szCs w:val="28"/>
        </w:rPr>
        <w:fldChar w:fldCharType="end"/>
      </w:r>
      <w:r>
        <w:rPr>
          <w:rFonts w:hint="eastAsia" w:ascii="宋体" w:hAnsi="宋体" w:eastAsia="宋体" w:cs="宋体"/>
          <w:b/>
          <w:color w:val="000000"/>
          <w:spacing w:val="23"/>
          <w:sz w:val="24"/>
          <w:szCs w:val="28"/>
        </w:rPr>
        <w:t>：</w:t>
      </w:r>
      <w:r>
        <w:rPr>
          <w:rFonts w:hint="eastAsia" w:ascii="宋体" w:hAnsi="宋体" w:eastAsia="宋体" w:cs="宋体"/>
          <w:b/>
          <w:color w:val="000000"/>
          <w:spacing w:val="23"/>
          <w:sz w:val="24"/>
          <w:szCs w:val="28"/>
          <w:u w:val="single"/>
          <w:lang w:val="en-US" w:eastAsia="zh-CN"/>
        </w:rPr>
        <w:t xml:space="preserve">                    </w:t>
      </w:r>
    </w:p>
    <w:p w14:paraId="2FCFF7E6">
      <w:pPr>
        <w:pStyle w:val="14"/>
        <w:keepNext w:val="0"/>
        <w:keepLines w:val="0"/>
        <w:pageBreakBefore w:val="0"/>
        <w:widowControl/>
        <w:kinsoku w:val="0"/>
        <w:wordWrap/>
        <w:overflowPunct/>
        <w:topLinePunct w:val="0"/>
        <w:autoSpaceDE w:val="0"/>
        <w:autoSpaceDN w:val="0"/>
        <w:bidi w:val="0"/>
        <w:adjustRightInd w:val="0"/>
        <w:snapToGrid w:val="0"/>
        <w:spacing w:line="560" w:lineRule="exact"/>
        <w:ind w:firstLine="1148" w:firstLineChars="400"/>
        <w:jc w:val="left"/>
        <w:textAlignment w:val="baseline"/>
        <w:rPr>
          <w:rFonts w:hint="eastAsia" w:ascii="宋体" w:hAnsi="宋体" w:eastAsia="宋体" w:cs="宋体"/>
          <w:b/>
          <w:color w:val="FF0000"/>
          <w:spacing w:val="23"/>
          <w:kern w:val="0"/>
          <w:sz w:val="28"/>
          <w:szCs w:val="28"/>
        </w:rPr>
      </w:pPr>
      <w:r>
        <w:rPr>
          <w:rFonts w:hint="eastAsia" w:ascii="宋体" w:hAnsi="宋体" w:eastAsia="宋体" w:cs="宋体"/>
          <w:b/>
          <w:color w:val="000000"/>
          <w:spacing w:val="23"/>
          <w:kern w:val="0"/>
          <w:sz w:val="24"/>
          <w:szCs w:val="28"/>
        </w:rPr>
        <w:t>签订时间：</w:t>
      </w:r>
      <w:r>
        <w:rPr>
          <w:rFonts w:hint="eastAsia" w:ascii="宋体" w:hAnsi="宋体" w:eastAsia="宋体" w:cs="宋体"/>
          <w:b/>
          <w:color w:val="auto"/>
          <w:spacing w:val="23"/>
          <w:kern w:val="0"/>
          <w:sz w:val="24"/>
          <w:szCs w:val="28"/>
          <w:u w:val="single"/>
        </w:rPr>
        <w:t>20</w:t>
      </w:r>
      <w:r>
        <w:rPr>
          <w:rFonts w:hint="eastAsia" w:ascii="宋体" w:hAnsi="宋体" w:eastAsia="宋体" w:cs="宋体"/>
          <w:b/>
          <w:color w:val="auto"/>
          <w:spacing w:val="23"/>
          <w:kern w:val="0"/>
          <w:sz w:val="24"/>
          <w:szCs w:val="28"/>
          <w:u w:val="single"/>
          <w:lang w:val="en-US" w:eastAsia="zh-CN"/>
        </w:rPr>
        <w:t xml:space="preserve">  </w:t>
      </w:r>
      <w:r>
        <w:rPr>
          <w:rFonts w:hint="eastAsia" w:ascii="宋体" w:hAnsi="宋体" w:eastAsia="宋体" w:cs="宋体"/>
          <w:b/>
          <w:color w:val="auto"/>
          <w:spacing w:val="23"/>
          <w:kern w:val="0"/>
          <w:sz w:val="24"/>
          <w:szCs w:val="28"/>
        </w:rPr>
        <w:t>年</w:t>
      </w:r>
      <w:r>
        <w:rPr>
          <w:rFonts w:hint="eastAsia" w:ascii="宋体" w:hAnsi="宋体" w:eastAsia="宋体" w:cs="宋体"/>
          <w:b/>
          <w:color w:val="auto"/>
          <w:spacing w:val="23"/>
          <w:kern w:val="0"/>
          <w:sz w:val="24"/>
          <w:szCs w:val="28"/>
          <w:u w:val="single"/>
          <w:lang w:val="en-US" w:eastAsia="zh-CN"/>
        </w:rPr>
        <w:t xml:space="preserve">  </w:t>
      </w:r>
      <w:r>
        <w:rPr>
          <w:rFonts w:hint="eastAsia" w:ascii="宋体" w:hAnsi="宋体" w:eastAsia="宋体" w:cs="宋体"/>
          <w:b/>
          <w:color w:val="auto"/>
          <w:spacing w:val="23"/>
          <w:kern w:val="0"/>
          <w:sz w:val="24"/>
          <w:szCs w:val="28"/>
        </w:rPr>
        <w:t>月</w:t>
      </w:r>
      <w:r>
        <w:rPr>
          <w:rFonts w:hint="eastAsia" w:ascii="宋体" w:hAnsi="宋体" w:eastAsia="宋体" w:cs="宋体"/>
          <w:b/>
          <w:color w:val="auto"/>
          <w:spacing w:val="23"/>
          <w:kern w:val="0"/>
          <w:sz w:val="24"/>
          <w:szCs w:val="28"/>
          <w:u w:val="single"/>
          <w:lang w:val="en-US" w:eastAsia="zh-CN"/>
        </w:rPr>
        <w:t xml:space="preserve">  </w:t>
      </w:r>
      <w:r>
        <w:rPr>
          <w:rFonts w:hint="eastAsia" w:ascii="宋体" w:hAnsi="宋体" w:eastAsia="宋体" w:cs="宋体"/>
          <w:b/>
          <w:color w:val="auto"/>
          <w:spacing w:val="23"/>
          <w:kern w:val="0"/>
          <w:sz w:val="24"/>
          <w:szCs w:val="28"/>
        </w:rPr>
        <w:t>日</w:t>
      </w:r>
    </w:p>
    <w:p w14:paraId="75F44A58">
      <w:pPr>
        <w:widowControl/>
        <w:tabs>
          <w:tab w:val="left" w:pos="1620"/>
        </w:tabs>
        <w:spacing w:line="500" w:lineRule="exact"/>
        <w:jc w:val="center"/>
        <w:rPr>
          <w:rFonts w:hint="eastAsia" w:ascii="宋体" w:hAnsi="宋体" w:eastAsia="宋体" w:cs="宋体"/>
          <w:b/>
          <w:sz w:val="36"/>
          <w:szCs w:val="36"/>
        </w:rPr>
      </w:pPr>
    </w:p>
    <w:p w14:paraId="06C7D0EC">
      <w:pPr>
        <w:widowControl/>
        <w:tabs>
          <w:tab w:val="left" w:pos="1620"/>
        </w:tabs>
        <w:spacing w:line="500" w:lineRule="exact"/>
        <w:jc w:val="center"/>
        <w:rPr>
          <w:rFonts w:hint="eastAsia" w:ascii="宋体" w:hAnsi="宋体" w:eastAsia="宋体" w:cs="宋体"/>
          <w:b/>
          <w:sz w:val="36"/>
          <w:szCs w:val="36"/>
        </w:rPr>
      </w:pPr>
    </w:p>
    <w:p w14:paraId="F039BB41">
      <w:pPr>
        <w:widowControl/>
        <w:tabs>
          <w:tab w:val="left" w:pos="1620"/>
        </w:tabs>
        <w:spacing w:line="500" w:lineRule="exact"/>
        <w:jc w:val="center"/>
        <w:rPr>
          <w:rFonts w:hint="eastAsia" w:ascii="宋体" w:hAnsi="宋体" w:eastAsia="宋体" w:cs="宋体"/>
          <w:b/>
          <w:sz w:val="36"/>
          <w:szCs w:val="36"/>
        </w:rPr>
      </w:pPr>
    </w:p>
    <w:p w14:paraId="FF8859DA">
      <w:pPr>
        <w:pStyle w:val="15"/>
        <w:rPr>
          <w:rFonts w:hint="eastAsia" w:ascii="宋体" w:hAnsi="宋体" w:eastAsia="宋体" w:cs="宋体"/>
        </w:rPr>
      </w:pPr>
    </w:p>
    <w:p w14:paraId="3445596B">
      <w:pPr>
        <w:widowControl/>
        <w:tabs>
          <w:tab w:val="left" w:pos="1620"/>
        </w:tabs>
        <w:spacing w:line="500" w:lineRule="exact"/>
        <w:jc w:val="center"/>
        <w:rPr>
          <w:rFonts w:hint="eastAsia" w:ascii="宋体" w:hAnsi="宋体" w:eastAsia="宋体" w:cs="宋体"/>
          <w:b/>
          <w:sz w:val="36"/>
          <w:szCs w:val="36"/>
        </w:rPr>
        <w:sectPr>
          <w:headerReference r:id="rId5" w:type="default"/>
          <w:footerReference r:id="rId6" w:type="default"/>
          <w:pgSz w:w="11906" w:h="16838"/>
          <w:pgMar w:top="1440" w:right="1700" w:bottom="1440" w:left="1800" w:header="851" w:footer="992" w:gutter="0"/>
          <w:pgNumType w:fmt="numberInDash" w:start="0"/>
          <w:cols w:space="425" w:num="1"/>
          <w:docGrid w:type="lines" w:linePitch="312" w:charSpace="0"/>
        </w:sectPr>
      </w:pPr>
    </w:p>
    <w:p w14:paraId="DB9A7E8C">
      <w:pPr>
        <w:keepNext w:val="0"/>
        <w:keepLines w:val="0"/>
        <w:kinsoku/>
        <w:wordWrap/>
        <w:overflowPunct/>
        <w:topLinePunct w:val="0"/>
        <w:bidi w:val="0"/>
        <w:spacing w:before="120" w:line="360" w:lineRule="auto"/>
        <w:ind w:firstLine="161" w:firstLineChars="50"/>
        <w:jc w:val="center"/>
        <w:textAlignment w:val="auto"/>
        <w:outlineLvl w:val="0"/>
        <w:rPr>
          <w:rFonts w:hint="eastAsia" w:ascii="宋体" w:hAnsi="宋体" w:eastAsia="宋体" w:cs="宋体"/>
          <w:b/>
          <w:sz w:val="32"/>
          <w:szCs w:val="32"/>
          <w:lang w:val="zh-CN"/>
        </w:rPr>
      </w:pPr>
      <w:r>
        <w:rPr>
          <w:rFonts w:hint="eastAsia" w:ascii="宋体" w:hAnsi="宋体" w:eastAsia="宋体" w:cs="宋体"/>
          <w:b/>
          <w:sz w:val="32"/>
          <w:szCs w:val="32"/>
          <w:lang w:val="zh-CN"/>
        </w:rPr>
        <w:t>合同主要条款及格式</w:t>
      </w:r>
    </w:p>
    <w:p w14:paraId="F5F63C0A">
      <w:pPr>
        <w:autoSpaceDE w:val="0"/>
        <w:autoSpaceDN w:val="0"/>
        <w:adjustRightInd w:val="0"/>
        <w:spacing w:line="360" w:lineRule="auto"/>
        <w:ind w:firstLine="420" w:firstLineChars="200"/>
        <w:rPr>
          <w:rFonts w:hint="default" w:ascii="宋体" w:hAnsi="宋体" w:eastAsia="宋体" w:cs="宋体"/>
          <w:bCs/>
          <w:sz w:val="21"/>
          <w:szCs w:val="21"/>
          <w:lang w:val="en-US" w:eastAsia="zh-CN"/>
        </w:rPr>
      </w:pPr>
      <w:r>
        <w:rPr>
          <w:rFonts w:hint="eastAsia" w:ascii="宋体" w:hAnsi="宋体" w:eastAsia="宋体" w:cs="宋体"/>
          <w:bCs/>
          <w:sz w:val="21"/>
          <w:szCs w:val="21"/>
        </w:rPr>
        <w:t>甲方（采购人）：</w:t>
      </w:r>
      <w:r>
        <w:rPr>
          <w:rFonts w:hint="eastAsia" w:ascii="宋体" w:hAnsi="宋体" w:eastAsia="宋体" w:cs="宋体"/>
          <w:bCs/>
          <w:sz w:val="21"/>
          <w:szCs w:val="21"/>
          <w:u w:val="single"/>
          <w:lang w:val="en-US" w:eastAsia="zh-CN"/>
        </w:rPr>
        <w:t xml:space="preserve">                   </w:t>
      </w:r>
    </w:p>
    <w:p w14:paraId="72673E8E">
      <w:pPr>
        <w:autoSpaceDE w:val="0"/>
        <w:autoSpaceDN w:val="0"/>
        <w:adjustRightInd w:val="0"/>
        <w:spacing w:line="360" w:lineRule="auto"/>
        <w:ind w:firstLine="420" w:firstLineChars="200"/>
        <w:rPr>
          <w:rFonts w:hint="eastAsia" w:ascii="宋体" w:hAnsi="宋体" w:eastAsia="宋体" w:cs="宋体"/>
          <w:bCs/>
          <w:sz w:val="24"/>
          <w:szCs w:val="24"/>
        </w:rPr>
      </w:pPr>
      <w:r>
        <w:rPr>
          <w:rFonts w:hint="eastAsia" w:ascii="宋体" w:hAnsi="宋体" w:eastAsia="宋体" w:cs="宋体"/>
          <w:bCs/>
          <w:sz w:val="21"/>
          <w:szCs w:val="21"/>
        </w:rPr>
        <w:t>乙方（供应商）：</w:t>
      </w:r>
      <w:r>
        <w:rPr>
          <w:rFonts w:hint="eastAsia" w:ascii="宋体" w:hAnsi="宋体" w:eastAsia="宋体" w:cs="宋体"/>
          <w:bCs/>
          <w:sz w:val="21"/>
          <w:szCs w:val="21"/>
          <w:u w:val="single"/>
          <w:lang w:val="en-US" w:eastAsia="zh-CN"/>
        </w:rPr>
        <w:t xml:space="preserve">                   </w:t>
      </w:r>
    </w:p>
    <w:p w14:paraId="57184BE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甲乙双方经过平等协商，在真实、充分地表达各自意愿的基础上，根据《中华人民共和国民法典》等相关法律法规和</w:t>
      </w:r>
      <w:r>
        <w:rPr>
          <w:rFonts w:hint="eastAsia" w:ascii="宋体" w:hAnsi="宋体" w:eastAsia="宋体" w:cs="宋体"/>
          <w:color w:val="auto"/>
          <w:sz w:val="21"/>
          <w:szCs w:val="21"/>
          <w:highlight w:val="none"/>
          <w:lang w:eastAsia="zh-CN"/>
        </w:rPr>
        <w:t>房屋</w:t>
      </w:r>
      <w:r>
        <w:rPr>
          <w:rFonts w:hint="eastAsia" w:ascii="宋体" w:hAnsi="宋体" w:eastAsia="宋体" w:cs="宋体"/>
          <w:color w:val="auto"/>
          <w:sz w:val="21"/>
          <w:szCs w:val="21"/>
          <w:highlight w:val="none"/>
          <w:lang w:val="en-US" w:eastAsia="zh-CN"/>
        </w:rPr>
        <w:t>质量安全</w:t>
      </w:r>
      <w:r>
        <w:rPr>
          <w:rFonts w:hint="eastAsia" w:ascii="宋体" w:hAnsi="宋体" w:eastAsia="宋体" w:cs="宋体"/>
          <w:color w:val="auto"/>
          <w:sz w:val="21"/>
          <w:szCs w:val="21"/>
          <w:highlight w:val="none"/>
          <w:lang w:eastAsia="zh-CN"/>
        </w:rPr>
        <w:t>鉴定</w:t>
      </w:r>
      <w:r>
        <w:rPr>
          <w:rFonts w:hint="eastAsia" w:ascii="宋体" w:hAnsi="宋体" w:eastAsia="宋体" w:cs="宋体"/>
          <w:color w:val="auto"/>
          <w:sz w:val="21"/>
          <w:szCs w:val="21"/>
          <w:highlight w:val="none"/>
        </w:rPr>
        <w:t>行业有关规定，达成如下协议，并由双方共同恪守。</w:t>
      </w:r>
    </w:p>
    <w:p w14:paraId="1B51C76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根据甲方的委托要求，乙方应根据国家、地区及行业的有关政策、法规及规范要求，按时向甲方提交</w:t>
      </w:r>
      <w:r>
        <w:rPr>
          <w:rFonts w:hint="eastAsia" w:ascii="宋体" w:hAnsi="宋体" w:eastAsia="宋体" w:cs="宋体"/>
          <w:color w:val="auto"/>
          <w:sz w:val="21"/>
          <w:szCs w:val="21"/>
          <w:highlight w:val="none"/>
          <w:lang w:val="en-US" w:eastAsia="zh-CN"/>
        </w:rPr>
        <w:t>质量安全</w:t>
      </w:r>
      <w:r>
        <w:rPr>
          <w:rFonts w:hint="eastAsia" w:ascii="宋体" w:hAnsi="宋体" w:eastAsia="宋体" w:cs="宋体"/>
          <w:color w:val="auto"/>
          <w:sz w:val="21"/>
          <w:szCs w:val="21"/>
          <w:highlight w:val="none"/>
          <w:lang w:eastAsia="zh-CN"/>
        </w:rPr>
        <w:t>鉴定</w:t>
      </w:r>
      <w:r>
        <w:rPr>
          <w:rFonts w:hint="eastAsia" w:ascii="宋体" w:hAnsi="宋体" w:eastAsia="宋体" w:cs="宋体"/>
          <w:color w:val="auto"/>
          <w:sz w:val="21"/>
          <w:szCs w:val="21"/>
          <w:highlight w:val="none"/>
        </w:rPr>
        <w:t>成果。</w:t>
      </w:r>
    </w:p>
    <w:p w14:paraId="689FD95D">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第一条  项目名称</w:t>
      </w:r>
    </w:p>
    <w:p w14:paraId="23AC2ED4">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建筑质量安全鉴定</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rPr>
        <w:t>；</w:t>
      </w:r>
    </w:p>
    <w:p w14:paraId="7FCA60DA">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项目概况</w:t>
      </w:r>
    </w:p>
    <w:p w14:paraId="3E33797C">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（一）项目地点：西安半坡博物馆。</w:t>
      </w:r>
    </w:p>
    <w:p w14:paraId="613E6E5A">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（二）本次进行质量安全鉴定的建筑结构形式为混凝土或砌体结构、钢结构；鉴定范围为：</w:t>
      </w:r>
      <w:r>
        <w:rPr>
          <w:rFonts w:hint="eastAsia" w:ascii="宋体" w:hAnsi="宋体" w:eastAsia="宋体" w:cs="宋体"/>
          <w:bCs/>
          <w:sz w:val="21"/>
          <w:szCs w:val="21"/>
          <w:highlight w:val="none"/>
          <w:lang w:val="en-US" w:eastAsia="zh-CN"/>
        </w:rPr>
        <w:t>1.陈列大厅修缮更新3000㎡；2.遗址大厅修缮更新5070㎡；3.陶窑展厅修缮更新110㎡；4.门面房修缮更新1180㎡；5.劳司楼修缮更新800㎡</w:t>
      </w:r>
      <w:r>
        <w:rPr>
          <w:rFonts w:hint="eastAsia" w:ascii="宋体" w:hAnsi="宋体" w:cs="宋体"/>
          <w:bCs/>
          <w:sz w:val="21"/>
          <w:szCs w:val="21"/>
          <w:highlight w:val="none"/>
          <w:lang w:val="en-US" w:eastAsia="zh-CN"/>
        </w:rPr>
        <w:t>；</w:t>
      </w:r>
      <w:r>
        <w:rPr>
          <w:rFonts w:hint="eastAsia" w:ascii="宋体" w:hAnsi="宋体" w:eastAsia="宋体" w:cs="宋体"/>
          <w:bCs/>
          <w:sz w:val="21"/>
          <w:szCs w:val="21"/>
          <w:highlight w:val="none"/>
          <w:lang w:val="en-US" w:eastAsia="zh-CN"/>
        </w:rPr>
        <w:t>6.甲方及设计方要求的其他建构筑物</w:t>
      </w:r>
      <w:r>
        <w:rPr>
          <w:rFonts w:hint="eastAsia" w:ascii="宋体" w:hAnsi="宋体" w:eastAsia="宋体" w:cs="宋体"/>
          <w:color w:val="auto"/>
          <w:sz w:val="21"/>
          <w:szCs w:val="21"/>
          <w:highlight w:val="none"/>
          <w:lang w:val="en-US" w:eastAsia="zh-CN"/>
        </w:rPr>
        <w:t>。</w:t>
      </w:r>
    </w:p>
    <w:p w14:paraId="2B25F32E">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（三）检测内容：</w:t>
      </w:r>
    </w:p>
    <w:p w14:paraId="0348FC31">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1.收集建筑的勘察报告，施工和竣工验收的相关原始资料；当资料不全时，应根据鉴定的需要进行补充实测。</w:t>
      </w:r>
    </w:p>
    <w:p w14:paraId="0D7C79E0">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2.调查建筑现状与原始资料相符合的程度、施工质量和维护状况，发现相关的非抗震缺陷。</w:t>
      </w:r>
    </w:p>
    <w:p w14:paraId="08CE7BC7">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3.根据各类建筑结构的特点、结构布置、构造和抗震承载力等因素，采用相应的逐级鉴定方法，进行综合抗震能力分析。</w:t>
      </w:r>
    </w:p>
    <w:p w14:paraId="70D48BD2">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4.对现有建筑整体抗震性能做出评价 ，对符合抗震鉴定要求的建筑应修缮更新说明后续使用年限及条件，对不符合抗震鉴定要求的建筑提出相应的抗震减灾对策和处理意见。</w:t>
      </w:r>
    </w:p>
    <w:p w14:paraId="07A90A49">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5.现有钢筋混凝土房屋的抗震鉴定，应依据其设防烈度重点检查薄弱部位，并对其外观和内在质量进行评价。</w:t>
      </w:r>
    </w:p>
    <w:p w14:paraId="599F4973">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现有钢筋混凝土房屋的抗震鉴定，应按结构体系的合理性，结构构件材料的实际强度，结构构件的纵向钢筋和横向箍筋的配置和构件连接的可靠性，填充墙等与主体结构的拉结构造以及构件抗震承载力的综合分析，对整房屋的抗震能力进行鉴定。</w:t>
      </w:r>
    </w:p>
    <w:p w14:paraId="7A13AB2E">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7.地基基础调查与检测；地基变形及其在上部结构中的反应。</w:t>
      </w:r>
    </w:p>
    <w:p w14:paraId="30CFFBFE">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8.鉴定单位根据原始建筑资料，改造后使用功能及结构主要构件抗震承载力的改变，提出可行性评价及加固意见。</w:t>
      </w:r>
    </w:p>
    <w:p w14:paraId="02AD6E12">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9.鉴定报告编制深度须满足《民用建筑可靠性鉴定标准》（GB50292-2015）和《建筑抗震鉴定标准》（GB50023-2009）。</w:t>
      </w:r>
    </w:p>
    <w:p w14:paraId="4B7278D9">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第三条  服务期限</w:t>
      </w:r>
    </w:p>
    <w:p w14:paraId="0BE77A87">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合同签订后30天内提交正式鉴定报告。</w:t>
      </w:r>
    </w:p>
    <w:p w14:paraId="7D62E702">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协作事项</w:t>
      </w:r>
    </w:p>
    <w:p w14:paraId="310F21EB">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甲  方：</w:t>
      </w:r>
    </w:p>
    <w:p w14:paraId="5428555F">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1、甲方需要协助乙方收集鉴定所需的相关资料；</w:t>
      </w:r>
    </w:p>
    <w:p w14:paraId="632A5FD5">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2、提供该项目现场检测所需要的配合；</w:t>
      </w:r>
    </w:p>
    <w:p w14:paraId="0EA7E0E7">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乙  方：</w:t>
      </w:r>
    </w:p>
    <w:p w14:paraId="5C5A97FC">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1、乙方应严格按照现行国家规范、规程和图纸设计要求进行作业，并保证测量结果的真实性、准确性、严密性和完整性，对检测结果负完全法律责任；   </w:t>
      </w:r>
    </w:p>
    <w:p w14:paraId="04CB911F">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2、乙方应与甲方密切配合，及时进行检测，确保检测项目按要求进度完成； </w:t>
      </w:r>
    </w:p>
    <w:p w14:paraId="70775076">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3、承担因自身技术原因造成的返工损失；</w:t>
      </w:r>
    </w:p>
    <w:p w14:paraId="0C2175C3">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4、遵守安全管理，应按有关规定采取严格的安全保护措施，在合同项目履行期间确保安全，承担由于自身安全措施不力造成事故的责任和因此发生的费用。</w:t>
      </w:r>
    </w:p>
    <w:p w14:paraId="753D9E3E">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5.乙方委派项目负责人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，负责本项目技术和现场安全。</w:t>
      </w:r>
    </w:p>
    <w:p w14:paraId="3D756E77">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第五条  甲方的权利和义务</w:t>
      </w:r>
    </w:p>
    <w:p w14:paraId="037C4D74">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一</w:t>
      </w:r>
      <w:r>
        <w:rPr>
          <w:rFonts w:hint="eastAsia" w:ascii="宋体" w:hAnsi="宋体" w:eastAsia="宋体" w:cs="宋体"/>
          <w:color w:val="auto"/>
          <w:sz w:val="21"/>
          <w:szCs w:val="21"/>
          <w:highlight w:val="none"/>
        </w:rPr>
        <w:t>）甲方按照约定及时向乙方支付本合同费用</w:t>
      </w:r>
      <w:r>
        <w:rPr>
          <w:rFonts w:hint="eastAsia" w:ascii="宋体" w:hAnsi="宋体" w:eastAsia="宋体" w:cs="宋体"/>
          <w:color w:val="auto"/>
          <w:sz w:val="21"/>
          <w:szCs w:val="21"/>
          <w:highlight w:val="none"/>
          <w:lang w:eastAsia="zh-CN"/>
        </w:rPr>
        <w:t>；</w:t>
      </w:r>
    </w:p>
    <w:p w14:paraId="0C384D9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二</w:t>
      </w:r>
      <w:r>
        <w:rPr>
          <w:rFonts w:hint="eastAsia" w:ascii="宋体" w:hAnsi="宋体" w:eastAsia="宋体" w:cs="宋体"/>
          <w:color w:val="auto"/>
          <w:sz w:val="21"/>
          <w:szCs w:val="21"/>
          <w:highlight w:val="none"/>
        </w:rPr>
        <w:t>）甲方在合同期内项目发生变化时应及时通知乙方。</w:t>
      </w:r>
    </w:p>
    <w:p w14:paraId="1654A0C2">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第六条  乙方的权利和义务</w:t>
      </w:r>
    </w:p>
    <w:p w14:paraId="64CE9F4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（一）乙方应在合同约定的时间内完成</w:t>
      </w:r>
      <w:r>
        <w:rPr>
          <w:rFonts w:hint="eastAsia" w:ascii="宋体" w:hAnsi="宋体" w:eastAsia="宋体" w:cs="宋体"/>
          <w:color w:val="auto"/>
          <w:sz w:val="21"/>
          <w:szCs w:val="21"/>
          <w:highlight w:val="none"/>
          <w:lang w:eastAsia="zh-CN"/>
        </w:rPr>
        <w:t>鉴定报告编制</w:t>
      </w:r>
      <w:r>
        <w:rPr>
          <w:rFonts w:hint="eastAsia" w:ascii="宋体" w:hAnsi="宋体" w:eastAsia="宋体" w:cs="宋体"/>
          <w:color w:val="auto"/>
          <w:sz w:val="21"/>
          <w:szCs w:val="21"/>
          <w:highlight w:val="none"/>
        </w:rPr>
        <w:t>工作。</w:t>
      </w:r>
    </w:p>
    <w:p w14:paraId="1150DA2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二</w:t>
      </w:r>
      <w:r>
        <w:rPr>
          <w:rFonts w:hint="eastAsia" w:ascii="宋体" w:hAnsi="宋体" w:eastAsia="宋体" w:cs="宋体"/>
          <w:color w:val="auto"/>
          <w:sz w:val="21"/>
          <w:szCs w:val="21"/>
          <w:highlight w:val="none"/>
        </w:rPr>
        <w:t>）乙方应对甲方提供的资料承担保密义务。</w:t>
      </w:r>
    </w:p>
    <w:p w14:paraId="7C65E67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三</w:t>
      </w:r>
      <w:r>
        <w:rPr>
          <w:rFonts w:hint="eastAsia" w:ascii="宋体" w:hAnsi="宋体" w:eastAsia="宋体" w:cs="宋体"/>
          <w:color w:val="auto"/>
          <w:sz w:val="21"/>
          <w:szCs w:val="21"/>
          <w:highlight w:val="none"/>
        </w:rPr>
        <w:t>）未经甲方同意，乙方不得擅自将</w:t>
      </w:r>
      <w:r>
        <w:rPr>
          <w:rFonts w:hint="eastAsia" w:ascii="宋体" w:hAnsi="宋体" w:eastAsia="宋体" w:cs="宋体"/>
          <w:color w:val="auto"/>
          <w:sz w:val="21"/>
          <w:szCs w:val="21"/>
          <w:highlight w:val="none"/>
          <w:lang w:val="en-US" w:eastAsia="zh-CN"/>
        </w:rPr>
        <w:t>鉴定</w:t>
      </w:r>
      <w:r>
        <w:rPr>
          <w:rFonts w:hint="eastAsia" w:ascii="宋体" w:hAnsi="宋体" w:eastAsia="宋体" w:cs="宋体"/>
          <w:color w:val="auto"/>
          <w:sz w:val="21"/>
          <w:szCs w:val="21"/>
          <w:highlight w:val="none"/>
        </w:rPr>
        <w:t>成果提供给第三方使用，否则，由此发生的损失和法律责任由乙方承担。</w:t>
      </w:r>
    </w:p>
    <w:p w14:paraId="5F00A636">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第七条  合同金额与付款方式</w:t>
      </w:r>
    </w:p>
    <w:p w14:paraId="284AC356">
      <w:pPr>
        <w:spacing w:line="360" w:lineRule="auto"/>
        <w:ind w:firstLine="420" w:firstLineChars="200"/>
        <w:outlineLvl w:val="0"/>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eastAsia="zh-CN"/>
        </w:rPr>
        <w:t>合同金额</w:t>
      </w:r>
    </w:p>
    <w:p w14:paraId="2B2E8757">
      <w:pPr>
        <w:spacing w:line="360" w:lineRule="auto"/>
        <w:ind w:firstLine="420" w:firstLineChars="200"/>
        <w:outlineLvl w:val="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eastAsia="zh-CN"/>
        </w:rPr>
        <w:t>合同总金额（含税）：</w:t>
      </w:r>
      <w:r>
        <w:rPr>
          <w:rFonts w:hint="eastAsia" w:ascii="宋体" w:hAnsi="宋体" w:eastAsia="宋体" w:cs="宋体"/>
          <w:b w:val="0"/>
          <w:bCs/>
          <w:color w:val="auto"/>
          <w:sz w:val="21"/>
          <w:szCs w:val="21"/>
          <w:highlight w:val="none"/>
          <w:u w:val="single"/>
          <w:lang w:eastAsia="zh-CN"/>
        </w:rPr>
        <w:t>人民币：</w:t>
      </w:r>
      <w:r>
        <w:rPr>
          <w:rFonts w:hint="eastAsia" w:ascii="宋体" w:hAnsi="宋体" w:eastAsia="宋体" w:cs="宋体"/>
          <w:b w:val="0"/>
          <w:bCs/>
          <w:color w:val="auto"/>
          <w:sz w:val="21"/>
          <w:szCs w:val="21"/>
          <w:highlight w:val="none"/>
          <w:u w:val="single"/>
          <w:lang w:val="en-US" w:eastAsia="zh-CN"/>
        </w:rPr>
        <w:t xml:space="preserve">（大写）       </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u w:val="single"/>
          <w:lang w:eastAsia="zh-CN"/>
        </w:rPr>
        <w:t xml:space="preserve"> </w:t>
      </w:r>
      <w:r>
        <w:rPr>
          <w:rFonts w:hint="eastAsia" w:ascii="宋体" w:hAnsi="宋体" w:eastAsia="宋体" w:cs="宋体"/>
          <w:b w:val="0"/>
          <w:bCs/>
          <w:color w:val="auto"/>
          <w:sz w:val="21"/>
          <w:szCs w:val="21"/>
          <w:highlight w:val="none"/>
          <w:lang w:eastAsia="zh-CN"/>
        </w:rPr>
        <w:t>元）。总价包含检测费、人工费、管理费、材料与设备费、保险费、采购代理费、税金、利润、风险、责任等</w:t>
      </w:r>
      <w:r>
        <w:rPr>
          <w:rFonts w:hint="eastAsia" w:ascii="宋体" w:hAnsi="宋体" w:eastAsia="宋体" w:cs="宋体"/>
          <w:b w:val="0"/>
          <w:bCs/>
          <w:color w:val="auto"/>
          <w:sz w:val="21"/>
          <w:szCs w:val="21"/>
          <w:highlight w:val="none"/>
          <w:lang w:val="en-US" w:eastAsia="zh-CN"/>
        </w:rPr>
        <w:t>与本项目有关的一切费用，甲方不再承担任何其他费用。</w:t>
      </w:r>
    </w:p>
    <w:p w14:paraId="6881EB87">
      <w:pPr>
        <w:spacing w:line="360" w:lineRule="auto"/>
        <w:ind w:firstLine="420" w:firstLineChars="200"/>
        <w:outlineLvl w:val="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付款：（1）本合同签订后且2025年一批市级文保专项资金下达后21日内，甲方向乙方支付合同款的40%作为预付款。（2）乙方提交正式鉴定报告后21日内，甲方向乙方支付第二笔款项，即合同价的20%。（3）待下一批专项资金下达后21日内支付剩余合同款项。</w:t>
      </w:r>
    </w:p>
    <w:p w14:paraId="382E9634">
      <w:pPr>
        <w:spacing w:line="360" w:lineRule="auto"/>
        <w:ind w:firstLine="420" w:firstLineChars="200"/>
        <w:outlineLvl w:val="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3.甲方每次付款前，乙方需向甲方开具财务部门认可的等额发票。</w:t>
      </w:r>
    </w:p>
    <w:p w14:paraId="664F2699">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第八条  交付与验收</w:t>
      </w:r>
    </w:p>
    <w:p w14:paraId="1A0A3EE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双方确定，按以下标准和方式对乙方提交的</w:t>
      </w:r>
      <w:r>
        <w:rPr>
          <w:rFonts w:hint="eastAsia" w:ascii="宋体" w:hAnsi="宋体" w:eastAsia="宋体" w:cs="宋体"/>
          <w:color w:val="auto"/>
          <w:sz w:val="21"/>
          <w:szCs w:val="21"/>
          <w:highlight w:val="none"/>
          <w:lang w:val="en-US" w:eastAsia="zh-CN"/>
        </w:rPr>
        <w:t>质量安全</w:t>
      </w:r>
      <w:r>
        <w:rPr>
          <w:rFonts w:hint="eastAsia" w:ascii="宋体" w:hAnsi="宋体" w:eastAsia="宋体" w:cs="宋体"/>
          <w:color w:val="auto"/>
          <w:sz w:val="21"/>
          <w:szCs w:val="21"/>
          <w:highlight w:val="none"/>
          <w:lang w:eastAsia="zh-CN"/>
        </w:rPr>
        <w:t>鉴定结果</w:t>
      </w:r>
      <w:r>
        <w:rPr>
          <w:rFonts w:hint="eastAsia" w:ascii="宋体" w:hAnsi="宋体" w:eastAsia="宋体" w:cs="宋体"/>
          <w:color w:val="auto"/>
          <w:sz w:val="21"/>
          <w:szCs w:val="21"/>
          <w:highlight w:val="none"/>
        </w:rPr>
        <w:t>进行验收：</w:t>
      </w:r>
    </w:p>
    <w:p w14:paraId="0737C98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（一）交付内容</w:t>
      </w:r>
    </w:p>
    <w:p w14:paraId="225EA2F0">
      <w:pPr>
        <w:adjustRightInd w:val="0"/>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乙方按合同内容、进度及质量要求</w:t>
      </w:r>
      <w:r>
        <w:rPr>
          <w:rFonts w:hint="eastAsia" w:ascii="宋体" w:hAnsi="宋体" w:eastAsia="宋体" w:cs="宋体"/>
          <w:color w:val="auto"/>
          <w:sz w:val="21"/>
          <w:szCs w:val="21"/>
          <w:highlight w:val="none"/>
          <w:lang w:val="en-US" w:eastAsia="zh-CN"/>
        </w:rPr>
        <w:t>提交符合国家有关技术规范和标准的纸质盖章版</w:t>
      </w:r>
      <w:r>
        <w:rPr>
          <w:rFonts w:hint="eastAsia" w:ascii="宋体" w:hAnsi="宋体" w:eastAsia="宋体" w:cs="宋体"/>
          <w:color w:val="auto"/>
          <w:sz w:val="21"/>
          <w:szCs w:val="21"/>
          <w:highlight w:val="none"/>
        </w:rPr>
        <w:t>检测</w:t>
      </w:r>
      <w:r>
        <w:rPr>
          <w:rFonts w:hint="eastAsia" w:ascii="宋体" w:hAnsi="宋体" w:eastAsia="宋体" w:cs="宋体"/>
          <w:color w:val="auto"/>
          <w:sz w:val="21"/>
          <w:szCs w:val="21"/>
          <w:highlight w:val="none"/>
          <w:lang w:val="en-US" w:eastAsia="zh-CN"/>
        </w:rPr>
        <w:t>鉴定</w:t>
      </w:r>
      <w:r>
        <w:rPr>
          <w:rFonts w:hint="eastAsia" w:ascii="宋体" w:hAnsi="宋体" w:eastAsia="宋体" w:cs="宋体"/>
          <w:color w:val="auto"/>
          <w:sz w:val="21"/>
          <w:szCs w:val="21"/>
          <w:highlight w:val="none"/>
        </w:rPr>
        <w:t>报告一式</w:t>
      </w:r>
      <w:r>
        <w:rPr>
          <w:rFonts w:hint="eastAsia" w:ascii="宋体" w:hAnsi="宋体" w:eastAsia="宋体" w:cs="宋体"/>
          <w:color w:val="auto"/>
          <w:sz w:val="21"/>
          <w:szCs w:val="21"/>
          <w:highlight w:val="none"/>
          <w:lang w:val="en-US" w:eastAsia="zh-CN"/>
        </w:rPr>
        <w:t>陆</w:t>
      </w:r>
      <w:r>
        <w:rPr>
          <w:rFonts w:hint="eastAsia" w:ascii="宋体" w:hAnsi="宋体" w:eastAsia="宋体" w:cs="宋体"/>
          <w:color w:val="auto"/>
          <w:sz w:val="21"/>
          <w:szCs w:val="21"/>
          <w:highlight w:val="none"/>
        </w:rPr>
        <w:t>份。</w:t>
      </w:r>
    </w:p>
    <w:p w14:paraId="166875D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（二）交付的形式、数量、时间及地点</w:t>
      </w:r>
    </w:p>
    <w:p w14:paraId="17A65CC5">
      <w:pPr>
        <w:spacing w:line="360" w:lineRule="auto"/>
        <w:ind w:firstLine="420" w:firstLineChars="200"/>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1、形式及数量：</w:t>
      </w:r>
      <w:r>
        <w:rPr>
          <w:rFonts w:hint="eastAsia" w:ascii="宋体" w:hAnsi="宋体" w:eastAsia="宋体" w:cs="宋体"/>
          <w:color w:val="auto"/>
          <w:sz w:val="21"/>
          <w:szCs w:val="21"/>
          <w:highlight w:val="none"/>
          <w:u w:val="single"/>
          <w:lang w:val="en-US" w:eastAsia="zh-CN"/>
        </w:rPr>
        <w:t>质量</w:t>
      </w:r>
      <w:r>
        <w:rPr>
          <w:rFonts w:hint="eastAsia" w:ascii="宋体" w:hAnsi="宋体" w:eastAsia="宋体" w:cs="宋体"/>
          <w:color w:val="auto"/>
          <w:sz w:val="21"/>
          <w:szCs w:val="21"/>
          <w:highlight w:val="none"/>
          <w:u w:val="single"/>
          <w:lang w:eastAsia="zh-CN"/>
        </w:rPr>
        <w:t>安全鉴定报告</w:t>
      </w:r>
      <w:r>
        <w:rPr>
          <w:rFonts w:hint="eastAsia" w:ascii="宋体" w:hAnsi="宋体" w:eastAsia="宋体" w:cs="宋体"/>
          <w:color w:val="auto"/>
          <w:sz w:val="21"/>
          <w:szCs w:val="21"/>
          <w:highlight w:val="none"/>
          <w:u w:val="single"/>
          <w:lang w:val="en-US" w:eastAsia="zh-CN"/>
        </w:rPr>
        <w:t>6份</w:t>
      </w:r>
      <w:r>
        <w:rPr>
          <w:rFonts w:hint="eastAsia" w:ascii="宋体" w:hAnsi="宋体" w:eastAsia="宋体" w:cs="宋体"/>
          <w:color w:val="auto"/>
          <w:sz w:val="21"/>
          <w:szCs w:val="21"/>
          <w:highlight w:val="none"/>
          <w:lang w:val="en-US" w:eastAsia="zh-CN"/>
        </w:rPr>
        <w:t>。</w:t>
      </w:r>
    </w:p>
    <w:p w14:paraId="384A5600">
      <w:pPr>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2、时间：</w:t>
      </w:r>
      <w:r>
        <w:rPr>
          <w:rFonts w:hint="eastAsia" w:ascii="宋体" w:hAnsi="宋体" w:eastAsia="宋体" w:cs="宋体"/>
          <w:color w:val="auto"/>
          <w:sz w:val="21"/>
          <w:szCs w:val="21"/>
          <w:highlight w:val="none"/>
          <w:u w:val="single"/>
          <w:lang w:val="en-US" w:eastAsia="zh-CN"/>
        </w:rPr>
        <w:t>自甲方通知进场后      日内开始现场检测，    日内完成现场检测鉴定，室内试验、结构计算分析与评定及报告编写。</w:t>
      </w:r>
    </w:p>
    <w:p w14:paraId="49657F28">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3、地点：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566D2A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（三）成果验收</w:t>
      </w:r>
    </w:p>
    <w:p w14:paraId="3F2B49B9">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甲方提交的鉴定</w:t>
      </w:r>
      <w:r>
        <w:rPr>
          <w:rFonts w:hint="eastAsia" w:ascii="宋体" w:hAnsi="宋体" w:eastAsia="宋体" w:cs="宋体"/>
          <w:color w:val="auto"/>
          <w:sz w:val="21"/>
          <w:szCs w:val="21"/>
          <w:highlight w:val="none"/>
        </w:rPr>
        <w:t>报告</w:t>
      </w:r>
      <w:r>
        <w:rPr>
          <w:rFonts w:hint="eastAsia" w:ascii="宋体" w:hAnsi="宋体" w:eastAsia="宋体" w:cs="宋体"/>
          <w:color w:val="auto"/>
          <w:sz w:val="21"/>
          <w:szCs w:val="21"/>
          <w:highlight w:val="none"/>
          <w:lang w:eastAsia="zh-CN"/>
        </w:rPr>
        <w:t>按照国家相关技术规定规范</w:t>
      </w:r>
      <w:r>
        <w:rPr>
          <w:rFonts w:hint="eastAsia" w:ascii="宋体" w:hAnsi="宋体" w:eastAsia="宋体" w:cs="宋体"/>
          <w:color w:val="auto"/>
          <w:sz w:val="21"/>
          <w:szCs w:val="21"/>
          <w:highlight w:val="none"/>
          <w:lang w:val="en-US" w:eastAsia="zh-CN"/>
        </w:rPr>
        <w:t>。</w:t>
      </w:r>
    </w:p>
    <w:p w14:paraId="277D053D">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满足现行国家、行业标准及规范。</w:t>
      </w:r>
    </w:p>
    <w:p w14:paraId="27616B9C">
      <w:pPr>
        <w:numPr>
          <w:ilvl w:val="0"/>
          <w:numId w:val="1"/>
        </w:num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违约责任</w:t>
      </w:r>
    </w:p>
    <w:p w14:paraId="554AF4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lang w:val="en-US" w:eastAsia="zh-CN"/>
        </w:rPr>
        <w:t>1、</w:t>
      </w:r>
      <w:r>
        <w:rPr>
          <w:rFonts w:hint="eastAsia" w:ascii="宋体" w:hAnsi="宋体" w:eastAsia="宋体" w:cs="宋体"/>
          <w:snapToGrid w:val="0"/>
          <w:color w:val="auto"/>
          <w:kern w:val="0"/>
          <w:sz w:val="21"/>
          <w:szCs w:val="21"/>
          <w:highlight w:val="none"/>
          <w:lang w:val="en-US"/>
        </w:rPr>
        <w:t>任何</w:t>
      </w:r>
      <w:r>
        <w:rPr>
          <w:rFonts w:hint="eastAsia" w:ascii="宋体" w:hAnsi="宋体" w:eastAsia="宋体" w:cs="宋体"/>
          <w:snapToGrid w:val="0"/>
          <w:color w:val="auto"/>
          <w:kern w:val="0"/>
          <w:sz w:val="21"/>
          <w:szCs w:val="21"/>
          <w:highlight w:val="none"/>
        </w:rPr>
        <w:t>一方若违反国家《</w:t>
      </w:r>
      <w:r>
        <w:rPr>
          <w:rFonts w:hint="eastAsia" w:ascii="宋体" w:hAnsi="宋体" w:eastAsia="宋体" w:cs="宋体"/>
          <w:snapToGrid w:val="0"/>
          <w:color w:val="auto"/>
          <w:kern w:val="0"/>
          <w:sz w:val="21"/>
          <w:szCs w:val="21"/>
          <w:highlight w:val="none"/>
          <w:lang w:val="en-US"/>
        </w:rPr>
        <w:t>中华人民共和国民法典</w:t>
      </w:r>
      <w:r>
        <w:rPr>
          <w:rFonts w:hint="eastAsia" w:ascii="宋体" w:hAnsi="宋体" w:eastAsia="宋体" w:cs="宋体"/>
          <w:snapToGrid w:val="0"/>
          <w:color w:val="auto"/>
          <w:kern w:val="0"/>
          <w:sz w:val="21"/>
          <w:szCs w:val="21"/>
          <w:highlight w:val="none"/>
        </w:rPr>
        <w:t>》有关规定</w:t>
      </w:r>
      <w:r>
        <w:rPr>
          <w:rFonts w:hint="eastAsia" w:ascii="宋体" w:hAnsi="宋体" w:eastAsia="宋体" w:cs="宋体"/>
          <w:snapToGrid w:val="0"/>
          <w:color w:val="auto"/>
          <w:kern w:val="0"/>
          <w:sz w:val="21"/>
          <w:szCs w:val="21"/>
          <w:highlight w:val="none"/>
          <w:lang w:val="en-US"/>
        </w:rPr>
        <w:t>以及本合同的约定</w:t>
      </w:r>
      <w:r>
        <w:rPr>
          <w:rFonts w:hint="eastAsia" w:ascii="宋体" w:hAnsi="宋体" w:eastAsia="宋体" w:cs="宋体"/>
          <w:snapToGrid w:val="0"/>
          <w:color w:val="auto"/>
          <w:kern w:val="0"/>
          <w:sz w:val="21"/>
          <w:szCs w:val="21"/>
          <w:highlight w:val="none"/>
        </w:rPr>
        <w:t>，违反方应承担相应的法律责任</w:t>
      </w:r>
      <w:r>
        <w:rPr>
          <w:rFonts w:hint="eastAsia" w:ascii="宋体" w:hAnsi="宋体" w:eastAsia="宋体" w:cs="宋体"/>
          <w:snapToGrid w:val="0"/>
          <w:color w:val="auto"/>
          <w:kern w:val="0"/>
          <w:sz w:val="21"/>
          <w:szCs w:val="21"/>
          <w:highlight w:val="none"/>
          <w:lang w:val="en-US"/>
        </w:rPr>
        <w:t>并向对方支付合同总价的</w:t>
      </w:r>
      <w:r>
        <w:rPr>
          <w:rFonts w:hint="eastAsia" w:ascii="宋体" w:hAnsi="宋体" w:eastAsia="宋体" w:cs="宋体"/>
          <w:snapToGrid w:val="0"/>
          <w:color w:val="auto"/>
          <w:kern w:val="0"/>
          <w:sz w:val="21"/>
          <w:szCs w:val="21"/>
          <w:highlight w:val="none"/>
          <w:lang w:val="en-US" w:eastAsia="zh-CN"/>
        </w:rPr>
        <w:t>15</w:t>
      </w:r>
      <w:r>
        <w:rPr>
          <w:rFonts w:hint="eastAsia" w:ascii="宋体" w:hAnsi="宋体" w:eastAsia="宋体" w:cs="宋体"/>
          <w:snapToGrid w:val="0"/>
          <w:color w:val="auto"/>
          <w:kern w:val="0"/>
          <w:sz w:val="21"/>
          <w:szCs w:val="21"/>
          <w:highlight w:val="none"/>
          <w:lang w:val="en-US"/>
        </w:rPr>
        <w:t>%作为合同违约金</w:t>
      </w:r>
      <w:r>
        <w:rPr>
          <w:rFonts w:hint="eastAsia" w:ascii="宋体" w:hAnsi="宋体" w:eastAsia="宋体" w:cs="宋体"/>
          <w:snapToGrid w:val="0"/>
          <w:color w:val="auto"/>
          <w:kern w:val="0"/>
          <w:sz w:val="21"/>
          <w:szCs w:val="21"/>
          <w:highlight w:val="none"/>
        </w:rPr>
        <w:t>。</w:t>
      </w:r>
    </w:p>
    <w:p w14:paraId="5F2057A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snapToGrid w:val="0"/>
          <w:color w:val="auto"/>
          <w:kern w:val="0"/>
          <w:sz w:val="21"/>
          <w:szCs w:val="21"/>
          <w:highlight w:val="none"/>
          <w:lang w:val="en-US" w:eastAsia="zh-CN"/>
        </w:rPr>
        <w:t>2、</w:t>
      </w:r>
      <w:r>
        <w:rPr>
          <w:rFonts w:hint="eastAsia" w:ascii="宋体" w:hAnsi="宋体" w:eastAsia="宋体" w:cs="宋体"/>
          <w:snapToGrid w:val="0"/>
          <w:color w:val="auto"/>
          <w:kern w:val="0"/>
          <w:sz w:val="21"/>
          <w:szCs w:val="21"/>
          <w:highlight w:val="none"/>
        </w:rPr>
        <w:t>由于乙方原因造成检测成果资料质量不合格，不能满足技术要求时，其返工检测费用由乙方承担</w:t>
      </w:r>
      <w:r>
        <w:rPr>
          <w:rFonts w:hint="eastAsia" w:ascii="宋体" w:hAnsi="宋体" w:eastAsia="宋体" w:cs="宋体"/>
          <w:color w:val="auto"/>
          <w:sz w:val="21"/>
          <w:szCs w:val="21"/>
          <w:highlight w:val="none"/>
          <w:lang w:val="en-US" w:eastAsia="zh-CN"/>
        </w:rPr>
        <w:t>且</w:t>
      </w:r>
      <w:r>
        <w:rPr>
          <w:rFonts w:hint="eastAsia" w:ascii="宋体" w:hAnsi="宋体" w:eastAsia="宋体" w:cs="宋体"/>
          <w:color w:val="auto"/>
          <w:sz w:val="21"/>
          <w:szCs w:val="21"/>
          <w:highlight w:val="none"/>
          <w:lang w:eastAsia="zh-CN"/>
        </w:rPr>
        <w:t>无偿修改至合格，</w:t>
      </w:r>
      <w:r>
        <w:rPr>
          <w:rFonts w:hint="eastAsia" w:ascii="宋体" w:hAnsi="宋体" w:eastAsia="宋体" w:cs="宋体"/>
          <w:snapToGrid w:val="0"/>
          <w:color w:val="auto"/>
          <w:kern w:val="0"/>
          <w:sz w:val="21"/>
          <w:szCs w:val="21"/>
          <w:highlight w:val="none"/>
          <w:lang w:val="en-US" w:eastAsia="zh-CN"/>
        </w:rPr>
        <w:t>并且承担由此给甲方造成的所有损失</w:t>
      </w:r>
      <w:r>
        <w:rPr>
          <w:rFonts w:hint="eastAsia" w:ascii="宋体" w:hAnsi="宋体" w:eastAsia="宋体" w:cs="宋体"/>
          <w:snapToGrid w:val="0"/>
          <w:color w:val="auto"/>
          <w:kern w:val="0"/>
          <w:sz w:val="21"/>
          <w:szCs w:val="21"/>
          <w:highlight w:val="none"/>
        </w:rPr>
        <w:t>。</w:t>
      </w:r>
    </w:p>
    <w:p w14:paraId="30656490">
      <w:pPr>
        <w:pStyle w:val="2"/>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第十条  通知与送达</w:t>
      </w:r>
    </w:p>
    <w:p w14:paraId="4D681AC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所有通知和通信都应是书面的（可用电子邮件预送达），并亲自送达或以传真、挂号邮寄、特快专递等方式至本合同所示的项目联系人。</w:t>
      </w:r>
    </w:p>
    <w:p w14:paraId="0403FB4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亲自送达或挂号邮寄、特快专递的通知送达时生效，传真发送后在收到对方确认函时生效。任何一方变更本合同所示的项目联系人及联系方式，应提前5日书面通知对方。</w:t>
      </w:r>
      <w:r>
        <w:rPr>
          <w:rFonts w:hint="eastAsia" w:ascii="宋体" w:hAnsi="宋体" w:eastAsia="宋体" w:cs="宋体"/>
          <w:color w:val="auto"/>
          <w:sz w:val="21"/>
          <w:szCs w:val="21"/>
          <w:highlight w:val="none"/>
          <w:lang w:val="en-US" w:eastAsia="zh-CN"/>
        </w:rPr>
        <w:t>如未及时通知，视为以本合同约定的送达地址为准，由此产生的损失和责任由变更方自行承担。</w:t>
      </w:r>
    </w:p>
    <w:p w14:paraId="32A45894">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第十一条  不可抗力</w:t>
      </w:r>
    </w:p>
    <w:p w14:paraId="3F8CF60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到达对方时合同解除，双方均不需向对方承担违约责任。</w:t>
      </w:r>
    </w:p>
    <w:p w14:paraId="64610BC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提出受不可抗力影响的一方应及时书面通知对方，并且在随后的15日内向对方提供不可抗力发生和持续期间的充分证据。提出受不可抗力影响的一方，还应尽一切合理努力排除不可抗力对履行合同造成的影响。</w:t>
      </w:r>
    </w:p>
    <w:p w14:paraId="4836E64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发生不可抗力的，双方应立即进行磋商，寻求合理的解决方案，并且要尽一切合理努力将不可抗力造成的损失降低到</w:t>
      </w:r>
      <w:r>
        <w:rPr>
          <w:rFonts w:hint="eastAsia" w:ascii="宋体" w:hAnsi="宋体" w:eastAsia="宋体" w:cs="宋体"/>
          <w:color w:val="auto"/>
          <w:sz w:val="21"/>
          <w:szCs w:val="21"/>
          <w:highlight w:val="none"/>
          <w:lang w:eastAsia="zh-CN"/>
        </w:rPr>
        <w:t>最低程度</w:t>
      </w:r>
      <w:r>
        <w:rPr>
          <w:rFonts w:hint="eastAsia" w:ascii="宋体" w:hAnsi="宋体" w:eastAsia="宋体" w:cs="宋体"/>
          <w:color w:val="auto"/>
          <w:sz w:val="21"/>
          <w:szCs w:val="21"/>
          <w:highlight w:val="none"/>
        </w:rPr>
        <w:t>。</w:t>
      </w:r>
    </w:p>
    <w:p w14:paraId="3B39C022">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第十二条  争议的解决</w:t>
      </w:r>
    </w:p>
    <w:p w14:paraId="23D63C7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双方因履行本合同而发生的争议，应协商、调解解决。协商、调解不成的，确定按下列第（二）种方式解决：</w:t>
      </w:r>
    </w:p>
    <w:p w14:paraId="4891DD3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（一）提交</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仲裁委员会仲裁；</w:t>
      </w:r>
    </w:p>
    <w:p w14:paraId="0C6995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（二）向甲方所在地有管辖权的人民法院起诉。</w:t>
      </w:r>
    </w:p>
    <w:p w14:paraId="18A7D473">
      <w:pPr>
        <w:spacing w:line="360" w:lineRule="auto"/>
        <w:ind w:firstLine="422" w:firstLineChars="200"/>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第十三条  其他</w:t>
      </w:r>
    </w:p>
    <w:p w14:paraId="33A501A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（一）本合同一式</w:t>
      </w:r>
      <w:r>
        <w:rPr>
          <w:rFonts w:hint="eastAsia" w:ascii="宋体" w:hAnsi="宋体" w:eastAsia="宋体" w:cs="宋体"/>
          <w:color w:val="auto"/>
          <w:sz w:val="21"/>
          <w:szCs w:val="21"/>
          <w:highlight w:val="none"/>
          <w:u w:val="single"/>
        </w:rPr>
        <w:t>陆</w:t>
      </w:r>
      <w:r>
        <w:rPr>
          <w:rFonts w:hint="eastAsia" w:ascii="宋体" w:hAnsi="宋体" w:eastAsia="宋体" w:cs="宋体"/>
          <w:color w:val="auto"/>
          <w:sz w:val="21"/>
          <w:szCs w:val="21"/>
          <w:highlight w:val="none"/>
        </w:rPr>
        <w:t>份，具有同等法律效力，甲方执</w:t>
      </w:r>
      <w:r>
        <w:rPr>
          <w:rFonts w:hint="eastAsia" w:ascii="宋体" w:hAnsi="宋体" w:eastAsia="宋体" w:cs="宋体"/>
          <w:color w:val="auto"/>
          <w:sz w:val="21"/>
          <w:szCs w:val="21"/>
          <w:highlight w:val="none"/>
          <w:u w:val="single"/>
        </w:rPr>
        <w:t>肆</w:t>
      </w:r>
      <w:r>
        <w:rPr>
          <w:rFonts w:hint="eastAsia" w:ascii="宋体" w:hAnsi="宋体" w:eastAsia="宋体" w:cs="宋体"/>
          <w:color w:val="auto"/>
          <w:sz w:val="21"/>
          <w:szCs w:val="21"/>
          <w:highlight w:val="none"/>
        </w:rPr>
        <w:t>份、乙方执</w:t>
      </w:r>
      <w:r>
        <w:rPr>
          <w:rFonts w:hint="eastAsia" w:ascii="宋体" w:hAnsi="宋体" w:eastAsia="宋体" w:cs="宋体"/>
          <w:color w:val="auto"/>
          <w:sz w:val="21"/>
          <w:szCs w:val="21"/>
          <w:highlight w:val="none"/>
          <w:u w:val="single"/>
        </w:rPr>
        <w:t>贰</w:t>
      </w:r>
      <w:r>
        <w:rPr>
          <w:rFonts w:hint="eastAsia" w:ascii="宋体" w:hAnsi="宋体" w:eastAsia="宋体" w:cs="宋体"/>
          <w:color w:val="auto"/>
          <w:sz w:val="21"/>
          <w:szCs w:val="21"/>
          <w:highlight w:val="none"/>
        </w:rPr>
        <w:t>份。</w:t>
      </w:r>
    </w:p>
    <w:p w14:paraId="185AD77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（二）本合同自双方法人代表或其授权代表签字或盖章，并加盖公章之日起生效，自双方履行完合同约定的义务后自动终止。</w:t>
      </w:r>
    </w:p>
    <w:p w14:paraId="51BFDA0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（三）本合同未尽事宜，由甲方和乙方双方协商并签订补充协议，与本合同具有同等法律效力。</w:t>
      </w:r>
    </w:p>
    <w:p w14:paraId="5126AD96">
      <w:pPr>
        <w:spacing w:after="24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（四）合同附件是本合同不可分割的一部分，与合同具有同等法律效力。合同附件与合同正文冲突时，以合同正文条款为准。</w:t>
      </w:r>
    </w:p>
    <w:p w14:paraId="078C7F5D">
      <w:pPr>
        <w:spacing w:after="240" w:line="360" w:lineRule="auto"/>
        <w:ind w:firstLine="420" w:firstLineChars="200"/>
        <w:rPr>
          <w:rFonts w:hint="eastAsia" w:ascii="宋体" w:hAnsi="宋体" w:eastAsia="宋体" w:cs="宋体"/>
          <w:color w:val="auto"/>
          <w:sz w:val="21"/>
          <w:szCs w:val="21"/>
          <w:highlight w:val="none"/>
        </w:rPr>
      </w:pPr>
    </w:p>
    <w:p w14:paraId="07F1E0A3">
      <w:pPr>
        <w:tabs>
          <w:tab w:val="left" w:pos="480"/>
        </w:tabs>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  方（法人公章）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乙  方（法人公章）</w:t>
      </w:r>
      <w:r>
        <w:rPr>
          <w:rFonts w:hint="eastAsia" w:ascii="宋体" w:hAnsi="宋体" w:eastAsia="宋体" w:cs="宋体"/>
          <w:color w:val="auto"/>
          <w:sz w:val="21"/>
          <w:szCs w:val="21"/>
          <w:highlight w:val="none"/>
          <w:lang w:eastAsia="zh-CN"/>
        </w:rPr>
        <w:t>：</w:t>
      </w:r>
    </w:p>
    <w:p w14:paraId="418ACF64">
      <w:pPr>
        <w:tabs>
          <w:tab w:val="left" w:pos="480"/>
        </w:tabs>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单位名称：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单位名称：</w:t>
      </w:r>
      <w:r>
        <w:rPr>
          <w:rFonts w:hint="eastAsia" w:ascii="宋体" w:hAnsi="宋体" w:eastAsia="宋体" w:cs="宋体"/>
          <w:color w:val="auto"/>
          <w:sz w:val="21"/>
          <w:szCs w:val="21"/>
          <w:highlight w:val="none"/>
          <w:lang w:val="en-US" w:eastAsia="zh-CN"/>
        </w:rPr>
        <w:t xml:space="preserve"> </w:t>
      </w:r>
    </w:p>
    <w:p w14:paraId="70ADD673">
      <w:pPr>
        <w:tabs>
          <w:tab w:val="left" w:pos="480"/>
        </w:tabs>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  址：</w:t>
      </w:r>
    </w:p>
    <w:p w14:paraId="21AED62A">
      <w:pPr>
        <w:tabs>
          <w:tab w:val="left" w:pos="480"/>
        </w:tabs>
        <w:suppressAutoHyphens/>
        <w:spacing w:line="360" w:lineRule="auto"/>
        <w:ind w:left="4410" w:hanging="4410" w:hangingChars="2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14:paraId="79B2119F">
      <w:pPr>
        <w:tabs>
          <w:tab w:val="left" w:pos="480"/>
        </w:tabs>
        <w:suppressAutoHyphens/>
        <w:spacing w:line="360" w:lineRule="auto"/>
        <w:ind w:left="4410" w:hanging="4410" w:hangingChars="21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或委托授权人</w:t>
      </w:r>
      <w:r>
        <w:rPr>
          <w:rFonts w:hint="eastAsia" w:ascii="宋体" w:hAnsi="宋体" w:eastAsia="宋体" w:cs="宋体"/>
          <w:color w:val="auto"/>
          <w:sz w:val="21"/>
          <w:szCs w:val="21"/>
          <w:highlight w:val="none"/>
        </w:rPr>
        <w:t>（签字或盖章）：</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或委托授权人</w:t>
      </w:r>
      <w:r>
        <w:rPr>
          <w:rFonts w:hint="eastAsia" w:ascii="宋体" w:hAnsi="宋体" w:eastAsia="宋体" w:cs="宋体"/>
          <w:color w:val="auto"/>
          <w:sz w:val="21"/>
          <w:szCs w:val="21"/>
          <w:highlight w:val="none"/>
        </w:rPr>
        <w:t>（签字或盖章）：</w:t>
      </w:r>
      <w:r>
        <w:rPr>
          <w:rFonts w:hint="eastAsia" w:ascii="宋体" w:hAnsi="宋体" w:eastAsia="宋体" w:cs="宋体"/>
          <w:color w:val="auto"/>
          <w:sz w:val="21"/>
          <w:szCs w:val="21"/>
          <w:highlight w:val="none"/>
          <w:lang w:val="en-US" w:eastAsia="zh-CN"/>
        </w:rPr>
        <w:t xml:space="preserve">                       </w:t>
      </w:r>
    </w:p>
    <w:p w14:paraId="3A3153C6">
      <w:pPr>
        <w:tabs>
          <w:tab w:val="left" w:pos="480"/>
        </w:tabs>
        <w:spacing w:line="360" w:lineRule="auto"/>
        <w:ind w:firstLine="3990" w:firstLineChars="19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开户银行：</w:t>
      </w:r>
    </w:p>
    <w:p w14:paraId="042EC510">
      <w:pPr>
        <w:tabs>
          <w:tab w:val="left" w:pos="480"/>
        </w:tabs>
        <w:spacing w:line="360" w:lineRule="auto"/>
        <w:ind w:firstLine="3990" w:firstLineChars="1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帐  号： </w:t>
      </w:r>
      <w:r>
        <w:rPr>
          <w:rFonts w:hint="eastAsia" w:ascii="宋体" w:hAnsi="宋体" w:eastAsia="宋体" w:cs="宋体"/>
          <w:color w:val="auto"/>
          <w:sz w:val="21"/>
          <w:szCs w:val="21"/>
          <w:highlight w:val="none"/>
        </w:rPr>
        <w:t xml:space="preserve">     </w:t>
      </w:r>
      <w:bookmarkStart w:id="3" w:name="_GoBack"/>
      <w:bookmarkEnd w:id="3"/>
    </w:p>
    <w:p w14:paraId="3E65804B">
      <w:pPr>
        <w:tabs>
          <w:tab w:val="left" w:pos="480"/>
        </w:tabs>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联系电话：</w:t>
      </w:r>
    </w:p>
    <w:p w14:paraId="386B070D">
      <w:pPr>
        <w:pStyle w:val="9"/>
        <w:spacing w:line="360" w:lineRule="auto"/>
        <w:rPr>
          <w:rFonts w:hint="eastAsia" w:ascii="宋体" w:hAnsi="宋体" w:eastAsia="宋体" w:cs="宋体"/>
          <w:sz w:val="21"/>
          <w:szCs w:val="21"/>
          <w:lang w:val="en-US" w:eastAsia="zh-CN"/>
        </w:rPr>
      </w:pPr>
      <w:r>
        <w:rPr>
          <w:rFonts w:hint="eastAsia" w:ascii="宋体" w:hAnsi="宋体" w:eastAsia="宋体" w:cs="宋体"/>
          <w:color w:val="auto"/>
          <w:sz w:val="21"/>
          <w:szCs w:val="21"/>
          <w:highlight w:val="none"/>
        </w:rPr>
        <w:t>签订日期：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签订日期：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4A62C8E9"/>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方正仿宋简体">
    <w:altName w:val="微软雅黑"/>
    <w:panose1 w:val="02010601030000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0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002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F62A850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5CC1">
    <w:pPr>
      <w:pStyle w:val="9"/>
      <w:spacing w:line="14" w:lineRule="auto"/>
      <w:rPr>
        <w:sz w:val="2"/>
      </w:rPr>
    </w:pPr>
  </w:p>
  <w:p w14:paraId="6019959E">
    <w:pPr>
      <w:pStyle w:val="9"/>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5690AF0">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45690AF0">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74D0A"/>
    <w:multiLevelType w:val="singleLevel"/>
    <w:tmpl w:val="23B74D0A"/>
    <w:lvl w:ilvl="0" w:tentative="0">
      <w:start w:val="9"/>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166C2"/>
    <w:rsid w:val="004C5B72"/>
    <w:rsid w:val="02F87AB8"/>
    <w:rsid w:val="034C75CF"/>
    <w:rsid w:val="08AB4CF6"/>
    <w:rsid w:val="08B66FA6"/>
    <w:rsid w:val="09A432A2"/>
    <w:rsid w:val="0A2E57CA"/>
    <w:rsid w:val="13FA0089"/>
    <w:rsid w:val="142812C3"/>
    <w:rsid w:val="14D74EE6"/>
    <w:rsid w:val="18AA42B6"/>
    <w:rsid w:val="1BEF5665"/>
    <w:rsid w:val="1CCB6424"/>
    <w:rsid w:val="1CD35ABE"/>
    <w:rsid w:val="1D110C16"/>
    <w:rsid w:val="1E4100AD"/>
    <w:rsid w:val="1FF23677"/>
    <w:rsid w:val="20DD55C0"/>
    <w:rsid w:val="21637244"/>
    <w:rsid w:val="252F5F84"/>
    <w:rsid w:val="257F0664"/>
    <w:rsid w:val="2789422D"/>
    <w:rsid w:val="2B32711B"/>
    <w:rsid w:val="2BBB64FD"/>
    <w:rsid w:val="2C373CA9"/>
    <w:rsid w:val="2E18664A"/>
    <w:rsid w:val="2E384E6B"/>
    <w:rsid w:val="2F355CF4"/>
    <w:rsid w:val="2F9C6500"/>
    <w:rsid w:val="2FCE1112"/>
    <w:rsid w:val="318A0DEB"/>
    <w:rsid w:val="361B39BB"/>
    <w:rsid w:val="365215C3"/>
    <w:rsid w:val="3AE24A86"/>
    <w:rsid w:val="3AFC74BC"/>
    <w:rsid w:val="3B2C7AF6"/>
    <w:rsid w:val="3ECF7A14"/>
    <w:rsid w:val="3EF4729F"/>
    <w:rsid w:val="3F801C75"/>
    <w:rsid w:val="3F8D5BDC"/>
    <w:rsid w:val="44953DA5"/>
    <w:rsid w:val="46947B83"/>
    <w:rsid w:val="4CBD6914"/>
    <w:rsid w:val="4D59350B"/>
    <w:rsid w:val="4E3E294A"/>
    <w:rsid w:val="4F1E648D"/>
    <w:rsid w:val="50717A91"/>
    <w:rsid w:val="516602E6"/>
    <w:rsid w:val="51A6766A"/>
    <w:rsid w:val="51E05EB9"/>
    <w:rsid w:val="587D49B7"/>
    <w:rsid w:val="5A522E20"/>
    <w:rsid w:val="5A787691"/>
    <w:rsid w:val="5AD00DCE"/>
    <w:rsid w:val="5AF26F96"/>
    <w:rsid w:val="5F2A3DB6"/>
    <w:rsid w:val="5F750C91"/>
    <w:rsid w:val="62D22F68"/>
    <w:rsid w:val="633B746C"/>
    <w:rsid w:val="669673B3"/>
    <w:rsid w:val="67FA68C3"/>
    <w:rsid w:val="6A993D38"/>
    <w:rsid w:val="6DB0087C"/>
    <w:rsid w:val="6E952018"/>
    <w:rsid w:val="6F23376B"/>
    <w:rsid w:val="70D93E87"/>
    <w:rsid w:val="713A2FED"/>
    <w:rsid w:val="713C3C71"/>
    <w:rsid w:val="72B539E4"/>
    <w:rsid w:val="73F47452"/>
    <w:rsid w:val="76670FFD"/>
    <w:rsid w:val="770B1D26"/>
    <w:rsid w:val="795476B2"/>
    <w:rsid w:val="7A5612B4"/>
    <w:rsid w:val="7D37638C"/>
    <w:rsid w:val="7D7E4647"/>
    <w:rsid w:val="7FB43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24"/>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4">
    <w:name w:val="heading 2"/>
    <w:basedOn w:val="1"/>
    <w:next w:val="5"/>
    <w:link w:val="23"/>
    <w:qFormat/>
    <w:uiPriority w:val="0"/>
    <w:pPr>
      <w:keepNext/>
      <w:keepLines/>
      <w:spacing w:before="260" w:after="260" w:line="500" w:lineRule="exact"/>
      <w:outlineLvl w:val="1"/>
    </w:pPr>
    <w:rPr>
      <w:rFonts w:ascii="Arial" w:hAnsi="Arial" w:eastAsia="黑体"/>
      <w:b/>
      <w:sz w:val="36"/>
      <w:szCs w:val="20"/>
    </w:rPr>
  </w:style>
  <w:style w:type="paragraph" w:styleId="6">
    <w:name w:val="heading 3"/>
    <w:basedOn w:val="1"/>
    <w:next w:val="1"/>
    <w:link w:val="22"/>
    <w:qFormat/>
    <w:uiPriority w:val="0"/>
    <w:pPr>
      <w:keepNext/>
      <w:keepLines/>
      <w:spacing w:beforeAutospacing="0" w:after="50" w:afterLines="50" w:afterAutospacing="0" w:line="240" w:lineRule="auto"/>
      <w:outlineLvl w:val="2"/>
    </w:pPr>
    <w:rPr>
      <w:rFonts w:ascii="Calibri" w:hAnsi="Calibri" w:eastAsia="宋体"/>
      <w:b/>
      <w:sz w:val="30"/>
    </w:rPr>
  </w:style>
  <w:style w:type="paragraph" w:styleId="7">
    <w:name w:val="heading 4"/>
    <w:basedOn w:val="1"/>
    <w:next w:val="1"/>
    <w:qFormat/>
    <w:uiPriority w:val="9"/>
    <w:pPr>
      <w:keepNext/>
      <w:keepLines/>
      <w:spacing w:before="200" w:after="0"/>
      <w:outlineLvl w:val="3"/>
    </w:pPr>
    <w:rPr>
      <w:rFonts w:ascii="Calibri" w:hAnsi="Calibri" w:eastAsia="MS Gothic" w:cs="Times New Roman"/>
      <w:b/>
      <w:bCs/>
      <w:i/>
      <w:iCs/>
      <w:color w:val="4F81BD"/>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Normal Indent"/>
    <w:basedOn w:val="1"/>
    <w:next w:val="1"/>
    <w:qFormat/>
    <w:uiPriority w:val="0"/>
    <w:pPr>
      <w:ind w:firstLine="420" w:firstLineChars="200"/>
    </w:pPr>
  </w:style>
  <w:style w:type="paragraph" w:styleId="8">
    <w:name w:val="annotation text"/>
    <w:basedOn w:val="1"/>
    <w:qFormat/>
    <w:uiPriority w:val="0"/>
    <w:pPr>
      <w:jc w:val="left"/>
    </w:pPr>
  </w:style>
  <w:style w:type="paragraph" w:styleId="9">
    <w:name w:val="Body Text"/>
    <w:basedOn w:val="1"/>
    <w:next w:val="1"/>
    <w:qFormat/>
    <w:uiPriority w:val="0"/>
    <w:rPr>
      <w:rFonts w:ascii="Arial" w:hAnsi="Arial" w:eastAsia="Arial" w:cs="Arial"/>
      <w:sz w:val="21"/>
      <w:szCs w:val="21"/>
      <w:lang w:val="en-US" w:eastAsia="en-US" w:bidi="ar-SA"/>
    </w:rPr>
  </w:style>
  <w:style w:type="paragraph" w:styleId="10">
    <w:name w:val="Body Text Indent"/>
    <w:basedOn w:val="1"/>
    <w:next w:val="1"/>
    <w:qFormat/>
    <w:uiPriority w:val="0"/>
    <w:pPr>
      <w:ind w:firstLine="624" w:firstLineChars="200"/>
    </w:pPr>
    <w:rPr>
      <w:rFonts w:ascii="方正仿宋简体"/>
      <w:spacing w:val="30"/>
      <w:w w:val="80"/>
    </w:rPr>
  </w:style>
  <w:style w:type="paragraph" w:styleId="11">
    <w:name w:val="Plain Text"/>
    <w:basedOn w:val="1"/>
    <w:qFormat/>
    <w:uiPriority w:val="0"/>
    <w:rPr>
      <w:rFonts w:ascii="宋体" w:hAnsi="Courier New" w:cs="Courier New"/>
      <w:szCs w:val="21"/>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qFormat/>
    <w:uiPriority w:val="0"/>
    <w:rPr>
      <w:rFonts w:ascii="楷体_GB2312" w:hAnsi="Copperplate Gothic Bold" w:eastAsia="楷体_GB2312"/>
      <w:sz w:val="28"/>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Body Text First Indent"/>
    <w:basedOn w:val="9"/>
    <w:next w:val="1"/>
    <w:qFormat/>
    <w:uiPriority w:val="0"/>
    <w:rPr>
      <w:rFonts w:hAnsi="宋体"/>
      <w:sz w:val="18"/>
      <w:szCs w:val="18"/>
    </w:rPr>
  </w:style>
  <w:style w:type="paragraph" w:styleId="16">
    <w:name w:val="Body Text First Indent 2"/>
    <w:basedOn w:val="10"/>
    <w:next w:val="5"/>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Hyperlink"/>
    <w:qFormat/>
    <w:uiPriority w:val="99"/>
    <w:rPr>
      <w:rFonts w:hint="eastAsia" w:ascii="宋体" w:hAnsi="宋体" w:eastAsia="宋体" w:cs="宋体"/>
      <w:color w:val="000000"/>
      <w:sz w:val="14"/>
      <w:szCs w:val="14"/>
      <w:u w:val="none"/>
    </w:rPr>
  </w:style>
  <w:style w:type="character" w:customStyle="1" w:styleId="22">
    <w:name w:val="标题 3 Char"/>
    <w:link w:val="6"/>
    <w:qFormat/>
    <w:uiPriority w:val="0"/>
    <w:rPr>
      <w:rFonts w:ascii="Calibri" w:hAnsi="Calibri" w:eastAsia="宋体"/>
      <w:b/>
      <w:sz w:val="30"/>
    </w:rPr>
  </w:style>
  <w:style w:type="character" w:customStyle="1" w:styleId="23">
    <w:name w:val="标题 2 Char"/>
    <w:link w:val="4"/>
    <w:qFormat/>
    <w:uiPriority w:val="0"/>
    <w:rPr>
      <w:rFonts w:ascii="Arial" w:hAnsi="Arial" w:eastAsia="黑体"/>
      <w:b/>
      <w:kern w:val="2"/>
      <w:sz w:val="36"/>
    </w:rPr>
  </w:style>
  <w:style w:type="character" w:customStyle="1" w:styleId="24">
    <w:name w:val="标题 1 Char"/>
    <w:link w:val="3"/>
    <w:qFormat/>
    <w:uiPriority w:val="0"/>
    <w:rPr>
      <w:rFonts w:ascii="Times New Roman" w:hAnsi="Times New Roman" w:eastAsia="宋体"/>
      <w:b/>
      <w:kern w:val="44"/>
      <w:sz w:val="44"/>
      <w:szCs w:val="20"/>
    </w:rPr>
  </w:style>
  <w:style w:type="paragraph" w:customStyle="1" w:styleId="25">
    <w:name w:val="Char1"/>
    <w:basedOn w:val="1"/>
    <w:qFormat/>
    <w:uiPriority w:val="0"/>
    <w:rPr>
      <w:szCs w:val="21"/>
    </w:rPr>
  </w:style>
  <w:style w:type="paragraph" w:customStyle="1" w:styleId="26">
    <w:name w:val="null3"/>
    <w:qFormat/>
    <w:uiPriority w:val="0"/>
    <w:rPr>
      <w:rFonts w:hint="eastAsia" w:ascii="Calibri" w:hAnsi="Calibri" w:eastAsia="宋体" w:cs="宋体"/>
      <w:lang w:val="en-US"/>
    </w:rPr>
  </w:style>
  <w:style w:type="paragraph" w:customStyle="1" w:styleId="27">
    <w:name w:val="Table Paragraph"/>
    <w:basedOn w:val="1"/>
    <w:qFormat/>
    <w:uiPriority w:val="1"/>
    <w:rPr>
      <w:rFonts w:ascii="宋体" w:hAnsi="宋体" w:cs="宋体"/>
      <w:lang w:val="zh-CN" w:bidi="zh-CN"/>
    </w:rPr>
  </w:style>
  <w:style w:type="character" w:customStyle="1" w:styleId="28">
    <w:name w:val="font01"/>
    <w:basedOn w:val="19"/>
    <w:qFormat/>
    <w:uiPriority w:val="0"/>
    <w:rPr>
      <w:rFonts w:hint="eastAsia" w:ascii="宋体" w:hAnsi="宋体" w:eastAsia="宋体" w:cs="宋体"/>
      <w:color w:val="000000"/>
      <w:sz w:val="24"/>
      <w:szCs w:val="24"/>
      <w:u w:val="none"/>
    </w:rPr>
  </w:style>
  <w:style w:type="paragraph" w:customStyle="1" w:styleId="29">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2847</Words>
  <Characters>2916</Characters>
  <Paragraphs>2215</Paragraphs>
  <TotalTime>5</TotalTime>
  <ScaleCrop>false</ScaleCrop>
  <LinksUpToDate>false</LinksUpToDate>
  <CharactersWithSpaces>3336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2025-07-04T08:17:00Z</dcterms:created>
  <dc:creator>Administrator</dc:creator>
  <cp:lastModifiedBy></cp:lastModifiedBy>
  <cp:lastPrinted>2025-04-17T09:38:00Z</cp:lastPrinted>
  <dcterms:modified xsi:type="dcterms:W3CDTF">2025-07-17T08:55:41Z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785d901a34df4c2fab7e41dc22ac1640_23</vt:lpwstr>
  </property>
  <property fmtid="{D5CDD505-2E9C-101B-9397-08002B2CF9AE}" pid="4" name="KSOTemplateDocerSaveRecord">
    <vt:lpwstr>eyJoZGlkIjoiOTNmYzhmNGFmMGQyNDQzOTk0NjQxYTRmNjYxZWY4YWUiLCJ1c2VySWQiOiIyMTkxMDU4MjgifQ==</vt:lpwstr>
  </property>
</Properties>
</file>