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版本号：JCCG2025-06-02-0220250718001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西安市智慧防汛平台项目密码应用安全性评估(二次)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JCCG2025-06-02-02</w:t>
      </w:r>
      <w:r>
        <w:br/>
      </w:r>
      <w:r>
        <w:br/>
      </w:r>
      <w:r>
        <w:br/>
      </w:r>
    </w:p>
    <w:p>
      <w:pPr>
        <w:pStyle w:val="null3"/>
        <w:jc w:val="center"/>
        <w:outlineLvl w:val="2"/>
      </w:pPr>
      <w:r>
        <w:rPr>
          <w:rFonts w:ascii="仿宋_GB2312" w:hAnsi="仿宋_GB2312" w:cs="仿宋_GB2312" w:eastAsia="仿宋_GB2312"/>
          <w:sz w:val="28"/>
          <w:b/>
        </w:rPr>
        <w:t>西安市水务建设与发展中心</w:t>
      </w:r>
    </w:p>
    <w:p>
      <w:pPr>
        <w:pStyle w:val="null3"/>
        <w:jc w:val="center"/>
        <w:outlineLvl w:val="2"/>
      </w:pPr>
      <w:r>
        <w:rPr>
          <w:rFonts w:ascii="仿宋_GB2312" w:hAnsi="仿宋_GB2312" w:cs="仿宋_GB2312" w:eastAsia="仿宋_GB2312"/>
          <w:sz w:val="28"/>
          <w:b/>
        </w:rPr>
        <w:t>陕西建诚工程造价咨询有限公司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西安市水务建设与发展中心</w:t>
      </w:r>
      <w:r>
        <w:rPr>
          <w:rFonts w:ascii="仿宋_GB2312" w:hAnsi="仿宋_GB2312" w:cs="仿宋_GB2312" w:eastAsia="仿宋_GB2312"/>
        </w:rPr>
        <w:t>委托，拟对</w:t>
      </w:r>
      <w:r>
        <w:rPr>
          <w:rFonts w:ascii="仿宋_GB2312" w:hAnsi="仿宋_GB2312" w:cs="仿宋_GB2312" w:eastAsia="仿宋_GB2312"/>
        </w:rPr>
        <w:t>西安市智慧防汛平台项目密码应用安全性评估(二次)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JCCG2025-06-02-02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西安市智慧防汛平台项目密码应用安全性评估(二次)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西安市智慧防汛平台项目密码应用安全性评估，通过第三方密码应用测评机构对西安市智慧防汛平台项目的密码算法、密钥管理、认证机制及合规性进行全面审查，重点围绕国家标准（如GB/T 39786）和行业规范，开展密码强度检测、密钥生命周期管理验证、身份认证漏洞排查及密评合规性核验，提供涵盖渗透测试、策略配置核查、漏洞复现的定制化评估方案，并输出包含风险评级、整改建议及合规证明的测评报告，同时需配合完成问题修复验证与安全防护优化指导，确保密码应用体系符合等保要求及业务安全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采购包1（西安市智慧防汛平台项目密码应用安全性评估）：属于专门面向中小企业采购。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自然人的提供身份证明文件；</w:t>
      </w:r>
    </w:p>
    <w:p>
      <w:pPr>
        <w:pStyle w:val="null3"/>
      </w:pPr>
      <w:r>
        <w:rPr>
          <w:rFonts w:ascii="仿宋_GB2312" w:hAnsi="仿宋_GB2312" w:cs="仿宋_GB2312" w:eastAsia="仿宋_GB2312"/>
        </w:rPr>
        <w:t>2、法定代表人（负责人）委托授权书\身份证明：法定代表人（负责人）参加投标的，须出具法定代表人（负责人）身份证明书及身份证正反两面扫描件；法定代表人（负责人）授权委托代理人参加投标的，须出具法定代表人（负责人）授权委托书及委托代理人身份证正反两面扫描件；</w:t>
      </w:r>
    </w:p>
    <w:p>
      <w:pPr>
        <w:pStyle w:val="null3"/>
      </w:pPr>
      <w:r>
        <w:rPr>
          <w:rFonts w:ascii="仿宋_GB2312" w:hAnsi="仿宋_GB2312" w:cs="仿宋_GB2312" w:eastAsia="仿宋_GB2312"/>
        </w:rPr>
        <w:t>3、企业资质：供应商须具备国家密码管理局颁发的商用密码检测机构资质证书，在国家密码管理局公告（第49号）《商用密码检测机构目录》内；</w:t>
      </w:r>
    </w:p>
    <w:p>
      <w:pPr>
        <w:pStyle w:val="null3"/>
      </w:pPr>
      <w:r>
        <w:rPr>
          <w:rFonts w:ascii="仿宋_GB2312" w:hAnsi="仿宋_GB2312" w:cs="仿宋_GB2312" w:eastAsia="仿宋_GB2312"/>
        </w:rPr>
        <w:t>4、财务状况报告：提供经审计的2022年度或2023年度或2024年度的财务会计报告（至少包括审计报告、资产负债表和利润表，成立时间至提交投标文件截止时间不足一年的可提供成立后任意时段的资产负债表）或2025年1月至今其基本账户开户银行出具的资信证明；其他组织和自然人提供银行出具的资信证明或财务报表；</w:t>
      </w:r>
    </w:p>
    <w:p>
      <w:pPr>
        <w:pStyle w:val="null3"/>
      </w:pPr>
      <w:r>
        <w:rPr>
          <w:rFonts w:ascii="仿宋_GB2312" w:hAnsi="仿宋_GB2312" w:cs="仿宋_GB2312" w:eastAsia="仿宋_GB2312"/>
        </w:rPr>
        <w:t>5、税收缴纳证明：提供2025年1月至今已缴纳的至少一个月的纳税证明或完税证明（税种为营业税或增值税或企业所得税），依法免税的单位应提供相关证明材料；</w:t>
      </w:r>
    </w:p>
    <w:p>
      <w:pPr>
        <w:pStyle w:val="null3"/>
      </w:pPr>
      <w:r>
        <w:rPr>
          <w:rFonts w:ascii="仿宋_GB2312" w:hAnsi="仿宋_GB2312" w:cs="仿宋_GB2312" w:eastAsia="仿宋_GB2312"/>
        </w:rPr>
        <w:t>6、社会保障资金缴纳证明：提供2025年1月至今已缴存的至少一个月的社会保障资金缴存单据或社保机构开具的社会保险参保缴费情况证明，依法不需要缴纳社会保障资金的单位应提供相关证明材料；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7、设备、技术能力书面声明：提供具有履行合同所必需的设备和专业技术能力的书面声明；</w:t>
      </w:r>
    </w:p>
    <w:p>
      <w:pPr>
        <w:pStyle w:val="null3"/>
      </w:pPr>
      <w:r>
        <w:rPr>
          <w:rFonts w:ascii="仿宋_GB2312" w:hAnsi="仿宋_GB2312" w:cs="仿宋_GB2312" w:eastAsia="仿宋_GB2312"/>
        </w:rPr>
        <w:t>8、信用查询记录：供应商不得为“信用中国” 网站（www.creditchina.gov.cn）中列入失信被执行人和重大税收违法失信主体的供应商，不得为中国政府采购网（www.ccgp.gov.cn）政府采购严重违法失信行为记录名单中被财政部门禁止参加政府采购活动的供应商；（采购代理机构将在开标当日打印查询记录作为证据留存，对列入失信被执行人、重大税收违法失信主体当事人名单、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9、关联关系：单位负责人为同一人或者存在控股、管理关系的不同单位不得同时投标；</w:t>
      </w:r>
    </w:p>
    <w:p>
      <w:pPr>
        <w:pStyle w:val="null3"/>
      </w:pPr>
      <w:r>
        <w:rPr>
          <w:rFonts w:ascii="仿宋_GB2312" w:hAnsi="仿宋_GB2312" w:cs="仿宋_GB2312" w:eastAsia="仿宋_GB2312"/>
        </w:rPr>
        <w:t>10、本次项目不接受联合体投标：提供非联合体投标承诺书；</w:t>
      </w:r>
    </w:p>
    <w:p>
      <w:pPr>
        <w:pStyle w:val="null3"/>
      </w:pPr>
      <w:r>
        <w:rPr>
          <w:rFonts w:ascii="仿宋_GB2312" w:hAnsi="仿宋_GB2312" w:cs="仿宋_GB2312" w:eastAsia="仿宋_GB2312"/>
        </w:rPr>
        <w:t>11、中小企业声明函：本项目专门面向中小企业采购，仅限符合《政府采购促进中小企业发展管理办法》（ 财库〔2020〕46号）条件的中小企业参与，提供中小企业声明函（残疾人福利性单位、监狱企业视同小、微企业）。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西安市水务建设与发展中心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王志武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029-86685246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西安经济技术开发区赛高国际D座603室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杨亚妮 王战茹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029-86518197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 857号）、《国家发展改革委关于降低部分建设项目收费标准规范收费行为等有关问题的通知》（发改价格[2011]534号）的有关规定，向代理机构一次支付招标代理服务费，招标代理服务费用不足捌仟元（¥：8000元）时按捌仟元收取。2、代理费缴存账户： 开户名称：陕西建诚工程造价咨询有限公司 开户银行：兴业银行股份有限公司西安经济开发区支行 账号：4568 5010 0100 155 547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西安市水务建设与发展中心</w:t>
      </w:r>
      <w:r>
        <w:rPr>
          <w:rFonts w:ascii="仿宋_GB2312" w:hAnsi="仿宋_GB2312" w:cs="仿宋_GB2312" w:eastAsia="仿宋_GB2312"/>
        </w:rPr>
        <w:t>和</w:t>
      </w:r>
      <w:r>
        <w:rPr>
          <w:rFonts w:ascii="仿宋_GB2312" w:hAnsi="仿宋_GB2312" w:cs="仿宋_GB2312" w:eastAsia="仿宋_GB2312"/>
        </w:rPr>
        <w:t>陕西建诚工程造价咨询有限公司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西安市水务建设与发展中心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西安市水务建设与发展中心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按照《西安市信息化项目验收细则（试行）》验收标准，由采购人组织履约验收。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联系人：杨亚妮 王战茹</w:t>
      </w:r>
    </w:p>
    <w:p>
      <w:pPr>
        <w:pStyle w:val="null3"/>
      </w:pPr>
      <w:r>
        <w:rPr>
          <w:rFonts w:ascii="仿宋_GB2312" w:hAnsi="仿宋_GB2312" w:cs="仿宋_GB2312" w:eastAsia="仿宋_GB2312"/>
        </w:rPr>
        <w:t>联系电话：029-86518197</w:t>
      </w:r>
    </w:p>
    <w:p>
      <w:pPr>
        <w:pStyle w:val="null3"/>
      </w:pPr>
      <w:r>
        <w:rPr>
          <w:rFonts w:ascii="仿宋_GB2312" w:hAnsi="仿宋_GB2312" w:cs="仿宋_GB2312" w:eastAsia="仿宋_GB2312"/>
        </w:rPr>
        <w:t>地址：西安经济技术开发区赛高国际D座603室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西安市智慧防汛平台项目密码应用安全性评估，通过第三方密码应用测评机构对西安市智慧防汛平台项目的密码算法、密钥管理、认证机制及合规性进行全面审查，重点围绕国家标准（如GB/T 39786）和行业规范，开展密码强度检测、密钥生命周期管理验证、身份认证漏洞排查及密评合规性核验，提供涵盖渗透测试、策略配置核查、漏洞复现的定制化评估方案，并输出包含风险评级、整改建议及合规证明的测评报告，同时需配合完成问题修复验证与安全防护优化指导，确保密码应用体系符合等保要求及业务安全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西安市智慧防汛平台项目密码应用安全性评估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标的名称：西安市智慧防汛平台项目密码应用安全性评估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一、项目名称：</w:t>
            </w:r>
            <w:r>
              <w:rPr>
                <w:rFonts w:ascii="仿宋_GB2312" w:hAnsi="仿宋_GB2312" w:cs="仿宋_GB2312" w:eastAsia="仿宋_GB2312"/>
                <w:sz w:val="18"/>
              </w:rPr>
              <w:t>西安市智慧防汛平台项目密码应用安全性评估</w:t>
            </w:r>
          </w:p>
          <w:p>
            <w:pPr>
              <w:pStyle w:val="null3"/>
              <w:jc w:val="both"/>
            </w:pPr>
            <w:r>
              <w:rPr>
                <w:rFonts w:ascii="仿宋_GB2312" w:hAnsi="仿宋_GB2312" w:cs="仿宋_GB2312" w:eastAsia="仿宋_GB2312"/>
                <w:sz w:val="18"/>
              </w:rPr>
              <w:t>二、采购预算</w:t>
            </w:r>
            <w:r>
              <w:rPr>
                <w:rFonts w:ascii="仿宋_GB2312" w:hAnsi="仿宋_GB2312" w:cs="仿宋_GB2312" w:eastAsia="仿宋_GB2312"/>
                <w:sz w:val="18"/>
              </w:rPr>
              <w:t>：</w:t>
            </w:r>
            <w:r>
              <w:rPr>
                <w:rFonts w:ascii="仿宋_GB2312" w:hAnsi="仿宋_GB2312" w:cs="仿宋_GB2312" w:eastAsia="仿宋_GB2312"/>
                <w:sz w:val="18"/>
              </w:rPr>
              <w:t>30</w:t>
            </w:r>
            <w:r>
              <w:rPr>
                <w:rFonts w:ascii="仿宋_GB2312" w:hAnsi="仿宋_GB2312" w:cs="仿宋_GB2312" w:eastAsia="仿宋_GB2312"/>
                <w:sz w:val="18"/>
              </w:rPr>
              <w:t>0000.00元</w:t>
            </w:r>
          </w:p>
          <w:p>
            <w:pPr>
              <w:pStyle w:val="null3"/>
              <w:jc w:val="both"/>
            </w:pPr>
            <w:r>
              <w:rPr>
                <w:rFonts w:ascii="仿宋_GB2312" w:hAnsi="仿宋_GB2312" w:cs="仿宋_GB2312" w:eastAsia="仿宋_GB2312"/>
                <w:sz w:val="18"/>
              </w:rPr>
              <w:t>三、采购内容：</w:t>
            </w:r>
            <w:r>
              <w:rPr>
                <w:rFonts w:ascii="仿宋_GB2312" w:hAnsi="仿宋_GB2312" w:cs="仿宋_GB2312" w:eastAsia="仿宋_GB2312"/>
                <w:sz w:val="18"/>
              </w:rPr>
              <w:t>西安市智慧防汛平台项目密码应用安全性评估</w:t>
            </w:r>
            <w:r>
              <w:rPr>
                <w:rFonts w:ascii="仿宋_GB2312" w:hAnsi="仿宋_GB2312" w:cs="仿宋_GB2312" w:eastAsia="仿宋_GB2312"/>
                <w:sz w:val="18"/>
              </w:rPr>
              <w:t>，通过第三方密码应用测评机构对西安市智慧防汛平台项目的密码算法、密钥管理、认证机制及合规性进行全面审查，重点围绕国家标准（如</w:t>
            </w:r>
            <w:r>
              <w:rPr>
                <w:rFonts w:ascii="仿宋_GB2312" w:hAnsi="仿宋_GB2312" w:cs="仿宋_GB2312" w:eastAsia="仿宋_GB2312"/>
                <w:sz w:val="18"/>
              </w:rPr>
              <w:t>GB/T 39786）和行业规范，开展密码强度检测、密钥生命周期管理验证、身份认证漏洞排查及密评合规性核验，提供涵盖渗透测试、策略配置核查、漏洞复现的定制化评估方案，并输出包含风险评级、整改建议及合规证明的测评报告，同时需配合完成问题修复验证与安全防护优化指导，确保密码应用体系符合等保要求及业务安全需求</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四、</w:t>
            </w:r>
            <w:r>
              <w:rPr>
                <w:rFonts w:ascii="仿宋_GB2312" w:hAnsi="仿宋_GB2312" w:cs="仿宋_GB2312" w:eastAsia="仿宋_GB2312"/>
                <w:sz w:val="18"/>
              </w:rPr>
              <w:t>服务期限：</w:t>
            </w:r>
            <w:r>
              <w:rPr>
                <w:rFonts w:ascii="仿宋_GB2312" w:hAnsi="仿宋_GB2312" w:cs="仿宋_GB2312" w:eastAsia="仿宋_GB2312"/>
                <w:sz w:val="18"/>
              </w:rPr>
              <w:t>签订合同后三个月内按照相关技术要求完成本项目调研、评估、整改确认和报告编制等工作，达到履约验收条件。履约验收后提供</w:t>
            </w:r>
            <w:r>
              <w:rPr>
                <w:rFonts w:ascii="仿宋_GB2312" w:hAnsi="仿宋_GB2312" w:cs="仿宋_GB2312" w:eastAsia="仿宋_GB2312"/>
                <w:sz w:val="18"/>
              </w:rPr>
              <w:t>5个月技术服务</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五、资金来源：财政资金，资金来源已落实。</w:t>
            </w:r>
          </w:p>
          <w:p>
            <w:pPr>
              <w:pStyle w:val="null3"/>
              <w:jc w:val="both"/>
            </w:pPr>
            <w:r>
              <w:rPr>
                <w:rFonts w:ascii="仿宋_GB2312" w:hAnsi="仿宋_GB2312" w:cs="仿宋_GB2312" w:eastAsia="仿宋_GB2312"/>
                <w:sz w:val="18"/>
              </w:rPr>
              <w:t>六、技术要求：</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达到国家相关规范、标准及采购人考核要求。</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测评人员需具备商用密码应用安全性评估人员能力合格证等证书。需组建至少5人的测评服务团队，且团队人员须为投标人本单位员工，需提供社保缴费证明。</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具备与密码测评有关的测评工具。</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服务要求：如在系统评估阶段，应安排具有相应资质的密评人员5人参与，并在采购人指定地点提供驻现场技术服务。服务期间需提供7×24小时服务响应，工程师30分钟内作好服务应答和反馈，需要现场支撑时，应在1小时内安排至少2名团队成员到达现场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签订合同后三个月内按照相关技术要求完成本项目调研、评估、整改确认和报告编制等工作，达到履约验收条件。履约验收后提供5个月技术服务。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合同签订后，乙方提供合规发票后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完成项目密码应用安全性评估工作，出具《密码应用安全性评估报告》，乙方提供合规发票后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项目全部完成并经最终验收合格后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1.按照《中华人民共和国民法典》相关条款执行。 合同争议解决的方式：本合同在履行过程中发生的争议，由甲、乙双方当事人协商解决，协商不成的，任一方可向甲方所在地人民法院起诉。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 2、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 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节能产品政府采购实施意见》（财库[2004]185号）； 5、《环境标志产品政府采购实施的意见》（财库[2006]90号）；6、《三部门联合发布关于促进残疾人就业政府采购政策的通知》（财库〔2017〕141号）；7、《财政部发展改革委生态环境部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中小企业政府采购信用融资办法》（陕财办采〔2018〕23号）、陕西省财政厅、中国人民银行西安分行关于深入推进政府采购信用融资业务的通知（陕财办采〔2023〕5号）；12、《关于政府采购支持绿色建材促进建筑品质提升试点工作的通知》（财库〔2020〕31 号）；13、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14、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负责人）参加投标的，须出具法定代表人（负责人）身份证明书及身份证正反两面扫描件；法定代表人（负责人）授权委托代理人参加投标的，须出具法定代表人（负责人）授权委托书及委托代理人身份证正反两面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供应商须具备国家密码管理局颁发的商用密码检测机构资质证书，在国家密码管理局公告（第49号）《商用密码检测机构目录》内；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2022年度或2023年度或2024年度的财务会计报告（至少包括审计报告、资产负债表和利润表，成立时间至提交投标文件截止时间不足一年的可提供成立后任意时段的资产负债表）或2025年1月至今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提供2025年1月至今已缴纳的至少一个月的纳税证明或完税证明（税种为营业税或增值税或企业所得税），依法免税的单位应提供相关证明材料；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供应商不得为“信用中国” 网站（www.creditchina.gov.cn）中列入失信被执行人和重大税收违法失信主体的供应商，不得为中国政府采购网（www.ccgp.gov.cn）政府采购严重违法失信行为记录名单中被财政部门禁止参加政府采购活动的供应商；（采购代理机构将在开标当日打印查询记录作为证据留存，对列入失信被执行人、重大税收违法失信主体当事人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本次项目不接受联合体投标</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 财库〔2020〕46号）条件的中小企业参与，提供中小企业声明函（残疾人福利性单位、监狱企业视同小、微企业）。</w:t>
            </w:r>
          </w:p>
        </w:tc>
        <w:tc>
          <w:tcPr>
            <w:tcW w:type="dxa" w:w="1661"/>
          </w:tcPr>
          <w:p>
            <w:pPr>
              <w:pStyle w:val="null3"/>
            </w:pPr>
            <w:r>
              <w:rPr>
                <w:rFonts w:ascii="仿宋_GB2312" w:hAnsi="仿宋_GB2312" w:cs="仿宋_GB2312" w:eastAsia="仿宋_GB2312"/>
              </w:rPr>
              <w:t>中小企业声明函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 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自响应文件递交截止之日起90个日历日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是否符合法律、法规和磋商文件中规定的其他实质性要求</w:t>
            </w:r>
          </w:p>
        </w:tc>
        <w:tc>
          <w:tcPr>
            <w:tcW w:type="dxa" w:w="1661"/>
          </w:tcPr>
          <w:p>
            <w:pPr>
              <w:pStyle w:val="null3"/>
            </w:pPr>
            <w:r>
              <w:rPr>
                <w:rFonts w:ascii="仿宋_GB2312" w:hAnsi="仿宋_GB2312" w:cs="仿宋_GB2312" w:eastAsia="仿宋_GB2312"/>
              </w:rPr>
              <w:t>响应文件.docx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项目理解程度</w:t>
            </w:r>
          </w:p>
        </w:tc>
        <w:tc>
          <w:tcPr>
            <w:tcW w:type="dxa" w:w="2492"/>
          </w:tcPr>
          <w:p>
            <w:pPr>
              <w:pStyle w:val="null3"/>
            </w:pPr>
            <w:r>
              <w:rPr>
                <w:rFonts w:ascii="仿宋_GB2312" w:hAnsi="仿宋_GB2312" w:cs="仿宋_GB2312" w:eastAsia="仿宋_GB2312"/>
              </w:rPr>
              <w:t>针对该项目的密码评估总体把握和理解，对该项目密码评估建设目标、建设内容、项目特点、技术难点和重点的理解； 理解不全面，不符合项目实际，计[0-2）分，理解较全面，与实际情况有差距，计[2-4）分；理解全面，思路清晰、完全符合项目实际，计[4-6]分。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针对本项目提供的密评方案，包括但不限于项目需求分析、测评流程、测评方法、实施方案、现场测评、分析与报告编制、测试过程中需使用测试设备清单、项目文档收集整理等进行综合评审； 方案简单，存在严重缺项，计[0-2）分；方案总体思路不够清晰，密评需求分析不够全面、合理，总体方案不够科学、合理，可操作性不强，架构不完整、层次不清晰，测试设备不能完全满足测试需要，项目文档收集范围不齐全、完整、系统，计[2-6）分；服务方案总体思路较清晰，密评需求分析较全面、合理，总体方案较科学、规范，可操作性较强，架构较完整、层次较清晰，测试设备不完全满足测试需要，项目文档收集范围不够齐全、完整、系统，计[6-10）分；方案合理、架构清晰完整、针对性强，总体方案科学、规范，可操作性强，测试设备完全满足测试需要，项目文档收集范围齐全、完整、系统，计[10-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针对本项目提供详细的进度安排及保证措施； 进度计划欠妥，保障措施不够合理，计[0-3）分；进度计划较为合理可行，保障措施安排较为合理，计[3-6）分；有明确合理的项目实施周期和进度计划安排，并有相应的进度保障措施，措施安排合理科学，可行性高，计[6-9]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安全管理及实施保障方案</w:t>
            </w:r>
          </w:p>
        </w:tc>
        <w:tc>
          <w:tcPr>
            <w:tcW w:type="dxa" w:w="2492"/>
          </w:tcPr>
          <w:p>
            <w:pPr>
              <w:pStyle w:val="null3"/>
            </w:pPr>
            <w:r>
              <w:rPr>
                <w:rFonts w:ascii="仿宋_GB2312" w:hAnsi="仿宋_GB2312" w:cs="仿宋_GB2312" w:eastAsia="仿宋_GB2312"/>
              </w:rPr>
              <w:t>针对本项目提供的安全管理及实施保障方案，包括但不限于①安全管理制度②风险评估及应对③密码安全应急处置④ 实施计划⑤组织保障体系等； 方案各部分内容欠缺、阐述条理含糊、基本满足项目采购需求，计[0-3）分；方案各部分内容相对全面、阐述条理清晰、基本满足项目采购需求，计[3-6）分；方案各部分内容全面详细、可操作性强、阐述条理清晰详尽、完全贴合项目采购需求，计[6-9]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供应商提供针对本项目的保密方案，包括但不限于：相应的保密措施及保密管理制度、测试过程的保密承诺、保密信息范围及保密主体等； 方案笼统，可行性一般，计[0-3)分；方案阐述较为完整详细，基本满足需求中的各项要求，计[3-6)分；方案阐述完整详细、可行，完全满足项目要求，计[6-9]分；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检测工具</w:t>
            </w:r>
          </w:p>
        </w:tc>
        <w:tc>
          <w:tcPr>
            <w:tcW w:type="dxa" w:w="2492"/>
          </w:tcPr>
          <w:p>
            <w:pPr>
              <w:pStyle w:val="null3"/>
            </w:pPr>
            <w:r>
              <w:rPr>
                <w:rFonts w:ascii="仿宋_GB2312" w:hAnsi="仿宋_GB2312" w:cs="仿宋_GB2312" w:eastAsia="仿宋_GB2312"/>
              </w:rPr>
              <w:t>具备与密码测评有关的测评工具，包括但不限于“弱口令扫描工具”、“渗透测试系统”、“项目进度管理系统”、“归档核查工具”、“服务交付智能态势分析系统”类似功能的软件著作权证书或者专利的，每提供1个检测工具得1分，本项最高得5分，未提供不得分。 注：检测工具须提供相应的合法来源渠道证明文件，包括但不限计算机软件著作权登记证书或专利证书等，复印件加盖公章，否则不得分。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企业管理体系认证</w:t>
            </w:r>
          </w:p>
        </w:tc>
        <w:tc>
          <w:tcPr>
            <w:tcW w:type="dxa" w:w="2492"/>
          </w:tcPr>
          <w:p>
            <w:pPr>
              <w:pStyle w:val="null3"/>
            </w:pPr>
            <w:r>
              <w:rPr>
                <w:rFonts w:ascii="仿宋_GB2312" w:hAnsi="仿宋_GB2312" w:cs="仿宋_GB2312" w:eastAsia="仿宋_GB2312"/>
              </w:rPr>
              <w:t>具有 IS09001质量管理体系认证证书、ISO20000 信息技术服务管理体系证书、ISO27001信息安全管理体系证书，每具有1项，得1分，最高3分； 注：按上述要求，提供加盖公章的相应资料的复印件，未提供不得分；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服务团队人员配备（项目经理）</w:t>
            </w:r>
          </w:p>
        </w:tc>
        <w:tc>
          <w:tcPr>
            <w:tcW w:type="dxa" w:w="2492"/>
          </w:tcPr>
          <w:p>
            <w:pPr>
              <w:pStyle w:val="null3"/>
            </w:pPr>
            <w:r>
              <w:rPr>
                <w:rFonts w:ascii="仿宋_GB2312" w:hAnsi="仿宋_GB2312" w:cs="仿宋_GB2312" w:eastAsia="仿宋_GB2312"/>
              </w:rPr>
              <w:t>拟派项目经理具有商用密码应用安全性评估从业人员考核合格证证书、注册网络安全专业防御人员（NSATP-D）、网络安全服务能力评价证书（CCSS应急响应能力）、信息安全保障人员（CISAW）证书；以上证书每提供一个得1分，最多得4分。未提供不得分。 评审依据：按上述要求，提供加盖公章的身份证复印件、相关证书复印件和社保证明（供应商为其人员缴纳的自2025年1月1日以来任意1个月），未提供不得分。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服务团队人员配备</w:t>
            </w:r>
          </w:p>
        </w:tc>
        <w:tc>
          <w:tcPr>
            <w:tcW w:type="dxa" w:w="2492"/>
          </w:tcPr>
          <w:p>
            <w:pPr>
              <w:pStyle w:val="null3"/>
            </w:pPr>
            <w:r>
              <w:rPr>
                <w:rFonts w:ascii="仿宋_GB2312" w:hAnsi="仿宋_GB2312" w:cs="仿宋_GB2312" w:eastAsia="仿宋_GB2312"/>
              </w:rPr>
              <w:t>项目团队人员（除项目经理外）配置充足、具备丰富从业经验，团队人员具有以下证书： 1、网络安全认证（CCSC）证书； 2、注册网络安全专业防御人员（NSATP-D）； 3、密码技术应用员； 4、注册渗透测试工程师（CISP-PTE）证书； 5、商用密码应用安全性评估从业人员考核合格证； 以上证书每提供一个得1分，最多得5分。未提供不得分。同一人员具有多个证书的不累计计分，同一证书提供多次的不累计计分。 评审依据：按上述要求，提供加盖公章的身份证复印件、相关证书复印件和社保证明（供应商为其人员缴纳的自2025年1月1日以来任意1个月），未提供不得分。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针对本项目提供的质量保障方案，包括但不限于：质量保障体系、进度保障、过程管理、人员管理、技术保障、沟通机制、风险控制及应急响应等内容； 质量保障方案粗略，内容表述不清晰，针对性、可操作性有明显瑕疵，计[0-3）分；质量保障方案基本完善，内容表述稍有欠缺，针对性、可操作性稍有不足，计[3-6）分；质量保障方案详细完整，内容表述清晰，具备针对性、可操作性，计[6-9]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针对本采购项目及采购人实际需求提供详细具体可行的售后服务措施承诺及详尽可行的服务实施计划，并阐明可提供的咨询或后期服务内容； 服务计划及承诺内容一般，计[0-2）分；服务计划及承诺有相对的操作性、承诺内容良好，计[2-4）分；服务计划及承诺可操作性强、细节描述详细、完整优越，计[4-6]分；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投标供应商（2021年1月1日至今）类似项目业绩，每个有效业绩得2分，满分10分。(以合同为准，复印件加盖公章装订在磋商响应文件中)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满足磋商文件要求且最后报价最低的供应商的价格为磋商基准价，其价格分为满分。其他供应商的价格分统一按照下列公式计算：投标报价得分=（磋商基准价/最后磋商报价）×10%×100 注：本项目为专门面向中小企业，符合磋商文件规定的小微企业、监狱企业、残疾人福利性单位优惠条件的投标人价格不再予以扣除。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