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版本号：LZBC2025-1130.20250702001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教学及辅助用房维修改造项目工程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LZBC2025-1130.</w:t>
      </w:r>
      <w:r>
        <w:br/>
      </w:r>
      <w:r>
        <w:br/>
      </w:r>
      <w:r>
        <w:br/>
      </w:r>
    </w:p>
    <w:p>
      <w:pPr>
        <w:pStyle w:val="null3"/>
        <w:jc w:val="center"/>
        <w:outlineLvl w:val="2"/>
      </w:pPr>
      <w:r>
        <w:rPr>
          <w:rFonts w:ascii="仿宋_GB2312" w:hAnsi="仿宋_GB2312" w:cs="仿宋_GB2312" w:eastAsia="仿宋_GB2312"/>
          <w:sz w:val="28"/>
          <w:b/>
        </w:rPr>
        <w:t>西安市第八十五中学</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西安市第八十五中学</w:t>
      </w:r>
      <w:r>
        <w:rPr>
          <w:rFonts w:ascii="仿宋_GB2312" w:hAnsi="仿宋_GB2312" w:cs="仿宋_GB2312" w:eastAsia="仿宋_GB2312"/>
        </w:rPr>
        <w:t>委托，拟对</w:t>
      </w:r>
      <w:r>
        <w:rPr>
          <w:rFonts w:ascii="仿宋_GB2312" w:hAnsi="仿宋_GB2312" w:cs="仿宋_GB2312" w:eastAsia="仿宋_GB2312"/>
        </w:rPr>
        <w:t>教学及辅助用房维修改造项目工程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LZBC2025-1130.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教学及辅助用房维修改造项目工程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对西安市第八十五中学立功楼一、二层，立德楼一至四层进行各教室及走廊地面、墙面、吸音改造。立德楼原有实验室搬迁至新实验楼后，将原有实验室改造为教室及年级组办公室。</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采购包1（教学及辅助用房维修改造项目工程）：属于专门面向中小企业采购。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w:t>
      </w:r>
    </w:p>
    <w:p>
      <w:pPr>
        <w:pStyle w:val="null3"/>
      </w:pPr>
      <w:r>
        <w:rPr>
          <w:rFonts w:ascii="仿宋_GB2312" w:hAnsi="仿宋_GB2312" w:cs="仿宋_GB2312" w:eastAsia="仿宋_GB2312"/>
        </w:rPr>
        <w:t>2、企业资质：供应商须具有建筑工程施工总承包叁级及以上资质及安全生产许可证</w:t>
      </w:r>
    </w:p>
    <w:p>
      <w:pPr>
        <w:pStyle w:val="null3"/>
      </w:pPr>
      <w:r>
        <w:rPr>
          <w:rFonts w:ascii="仿宋_GB2312" w:hAnsi="仿宋_GB2312" w:cs="仿宋_GB2312" w:eastAsia="仿宋_GB2312"/>
        </w:rPr>
        <w:t>3、拟派项目负责人资质和专业要求：供应商拟派项目负责人在本单位注册具有建筑工程专业二级及以上注册建造师证书及安全考核合格证,且无在建（无在建承诺格式自拟）</w:t>
      </w:r>
    </w:p>
    <w:p>
      <w:pPr>
        <w:pStyle w:val="null3"/>
      </w:pPr>
      <w:r>
        <w:rPr>
          <w:rFonts w:ascii="仿宋_GB2312" w:hAnsi="仿宋_GB2312" w:cs="仿宋_GB2312" w:eastAsia="仿宋_GB2312"/>
        </w:rPr>
        <w:t>4、参加政府采购活动前3年内在经营活动中没有重大违法记录的书面声明；其中：重大违法记录是指供应商因违法经营受到刑事处罚或者责令停产停业、吊销许可证或者执照 、较大数额罚款等行政处罚：参加政府采购活动前3年内在经营活动中没有重大违法记录的书面声明：参加政府采购活动前3年内在经营活动中没有重大违法记录的书面声明，其中：重大违法记录是指供应商因违法经营受到刑事处罚或者责令停产停业、吊销许可证或者执照、较大数额罚款等行政处罚。供应商需在项目电子化交易系统中按要求上传相应证明文件并进行电子签章</w:t>
      </w:r>
    </w:p>
    <w:p>
      <w:pPr>
        <w:pStyle w:val="null3"/>
      </w:pPr>
      <w:r>
        <w:rPr>
          <w:rFonts w:ascii="仿宋_GB2312" w:hAnsi="仿宋_GB2312" w:cs="仿宋_GB2312" w:eastAsia="仿宋_GB2312"/>
        </w:rPr>
        <w:t>5、税收缴纳凭证及社会保险缴纳的凭证：税收缴纳凭证及社会保险缴纳的凭证：供应商在本项目磋商响应文件递交截止时间前六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p>
      <w:pPr>
        <w:pStyle w:val="null3"/>
      </w:pPr>
      <w:r>
        <w:rPr>
          <w:rFonts w:ascii="仿宋_GB2312" w:hAnsi="仿宋_GB2312" w:cs="仿宋_GB2312" w:eastAsia="仿宋_GB2312"/>
        </w:rPr>
        <w:t>6、财务状况报告：财务状况报告：供应商2023年或2024年经审计的财务报告（事业法人可提供部门决算报告）或基本户银行出具的资信证明或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7、履行合同所必需的设备和专业技术能力书面声明函：具有履行合同所必需的设备和专业技术能力书面声明函，供应商需在项目电子化交易系统中按要求上传相应证明文件并进行电子签章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8、信用要求：不得为“信用中国”网站（www.creditchina.gov.cn）中列入失信被执行人和重大税收违法失信主体的供应商，不得为中国政府采购网（www.ccgp.gov.cn）政府采购严重违法失信行为记录名单中被财政部门禁止参加政府采购活动的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西安市第八十五中学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西安市翠华路254号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王若莹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029-87875152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陕西省西安市市本级陕西省西安市高新区太白南路181号A座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胡敏、王申午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采购包1：2,821,000.00元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代理服务费收费标准：1、本项目采购代理服务费以成交价作为收费基数，参照计价格[2002]1 980号、发改价格[2011]534号、发改办价格〔2003〕857号中工程类执行。 2、成交单位在领取成交通知书之前，须向采购代理机构支付招标代理服务费。 招标代理服务费以转账或现金 形式缴纳至以下账户： 开户名称：龙寰项目管理咨询有限公司 开户银行：平安银行西安高新路 支行账号：30201278017065</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西安市第八十五中学</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西安市第八十五中学</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西安市第八十五中学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联系人：胡敏、王申午</w:t>
      </w:r>
    </w:p>
    <w:p>
      <w:pPr>
        <w:pStyle w:val="null3"/>
      </w:pPr>
      <w:r>
        <w:rPr>
          <w:rFonts w:ascii="仿宋_GB2312" w:hAnsi="仿宋_GB2312" w:cs="仿宋_GB2312" w:eastAsia="仿宋_GB2312"/>
        </w:rPr>
        <w:t>联系电话：029-88228899-633</w:t>
      </w:r>
    </w:p>
    <w:p>
      <w:pPr>
        <w:pStyle w:val="null3"/>
      </w:pPr>
      <w:r>
        <w:rPr>
          <w:rFonts w:ascii="仿宋_GB2312" w:hAnsi="仿宋_GB2312" w:cs="仿宋_GB2312" w:eastAsia="仿宋_GB2312"/>
        </w:rPr>
        <w:t>地址：陕西省西安市太白南路181号西部电子社区A座A区501室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2,821,000.00</w:t>
      </w:r>
    </w:p>
    <w:p>
      <w:pPr>
        <w:pStyle w:val="null3"/>
      </w:pPr>
      <w:r>
        <w:rPr>
          <w:rFonts w:ascii="仿宋_GB2312" w:hAnsi="仿宋_GB2312" w:cs="仿宋_GB2312" w:eastAsia="仿宋_GB2312"/>
        </w:rPr>
        <w:t>采购包最高限价（元）: 2,820,345.01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教辅用房维修改造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2,821,000.00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标的名称：教辅用房维修改造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一、工程概况</w:t>
            </w:r>
            <w:r>
              <w:br/>
            </w:r>
            <w:r>
              <w:rPr>
                <w:rFonts w:ascii="仿宋_GB2312" w:hAnsi="仿宋_GB2312" w:cs="仿宋_GB2312" w:eastAsia="仿宋_GB2312"/>
              </w:rPr>
              <w:t xml:space="preserve"> 1、工程名称：西安市第八十五中学教学及辅助用房维修改造项目工程</w:t>
            </w:r>
            <w:r>
              <w:br/>
            </w:r>
            <w:r>
              <w:rPr>
                <w:rFonts w:ascii="仿宋_GB2312" w:hAnsi="仿宋_GB2312" w:cs="仿宋_GB2312" w:eastAsia="仿宋_GB2312"/>
              </w:rPr>
              <w:t xml:space="preserve"> 2、工程内容：西安市第八十五中学教学及辅助用房维修改造项目工程，具体详见工程量清单等。</w:t>
            </w:r>
            <w:r>
              <w:br/>
            </w:r>
            <w:r>
              <w:rPr>
                <w:rFonts w:ascii="仿宋_GB2312" w:hAnsi="仿宋_GB2312" w:cs="仿宋_GB2312" w:eastAsia="仿宋_GB2312"/>
              </w:rPr>
              <w:t xml:space="preserve"> 二、编制依据</w:t>
            </w:r>
            <w:r>
              <w:br/>
            </w:r>
            <w:r>
              <w:rPr>
                <w:rFonts w:ascii="仿宋_GB2312" w:hAnsi="仿宋_GB2312" w:cs="仿宋_GB2312" w:eastAsia="仿宋_GB2312"/>
              </w:rPr>
              <w:t xml:space="preserve"> 1、西安市第八十五中学教学及辅助用房提升改造项目内容；</w:t>
            </w:r>
            <w:r>
              <w:br/>
            </w:r>
            <w:r>
              <w:rPr>
                <w:rFonts w:ascii="仿宋_GB2312" w:hAnsi="仿宋_GB2312" w:cs="仿宋_GB2312" w:eastAsia="仿宋_GB2312"/>
              </w:rPr>
              <w:t xml:space="preserve"> 2、与建设工程项目有关的标准、规范、图集、技术资料；</w:t>
            </w:r>
            <w:r>
              <w:br/>
            </w:r>
            <w:r>
              <w:rPr>
                <w:rFonts w:ascii="仿宋_GB2312" w:hAnsi="仿宋_GB2312" w:cs="仿宋_GB2312" w:eastAsia="仿宋_GB2312"/>
              </w:rPr>
              <w:t xml:space="preserve"> 3、施工现场情况、工程特点及常规施工方案；</w:t>
            </w:r>
            <w:r>
              <w:br/>
            </w:r>
            <w:r>
              <w:rPr>
                <w:rFonts w:ascii="仿宋_GB2312" w:hAnsi="仿宋_GB2312" w:cs="仿宋_GB2312" w:eastAsia="仿宋_GB2312"/>
              </w:rPr>
              <w:t xml:space="preserve"> 4、《陕西省建设工程工程量清单计价规则》（2009）；</w:t>
            </w:r>
            <w:r>
              <w:br/>
            </w:r>
            <w:r>
              <w:rPr>
                <w:rFonts w:ascii="仿宋_GB2312" w:hAnsi="仿宋_GB2312" w:cs="仿宋_GB2312" w:eastAsia="仿宋_GB2312"/>
              </w:rPr>
              <w:t xml:space="preserve"> 5、《陕西省建设工程工程量清单计价费率》（2009）；</w:t>
            </w:r>
            <w:r>
              <w:br/>
            </w:r>
            <w:r>
              <w:rPr>
                <w:rFonts w:ascii="仿宋_GB2312" w:hAnsi="仿宋_GB2312" w:cs="仿宋_GB2312" w:eastAsia="仿宋_GB2312"/>
              </w:rPr>
              <w:t xml:space="preserve"> 6、《陕西省建筑装饰、市政工程消耗量定额》（2004）、《陕西省建设工程消耗量定额补充定额》（2004）；</w:t>
            </w:r>
            <w:r>
              <w:br/>
            </w:r>
            <w:r>
              <w:rPr>
                <w:rFonts w:ascii="仿宋_GB2312" w:hAnsi="仿宋_GB2312" w:cs="仿宋_GB2312" w:eastAsia="仿宋_GB2312"/>
              </w:rPr>
              <w:t xml:space="preserve"> 7、与定额相配套使用的《陕西省建筑装饰、市政工程价目表》（2009）及其他相关的计价依据和办法；</w:t>
            </w:r>
            <w:r>
              <w:br/>
            </w:r>
            <w:r>
              <w:rPr>
                <w:rFonts w:ascii="仿宋_GB2312" w:hAnsi="仿宋_GB2312" w:cs="仿宋_GB2312" w:eastAsia="仿宋_GB2312"/>
              </w:rPr>
              <w:t xml:space="preserve"> 8、税金调整执行陕建发【2019】45号税率调整文件；</w:t>
            </w:r>
            <w:r>
              <w:br/>
            </w:r>
            <w:r>
              <w:rPr>
                <w:rFonts w:ascii="仿宋_GB2312" w:hAnsi="仿宋_GB2312" w:cs="仿宋_GB2312" w:eastAsia="仿宋_GB2312"/>
              </w:rPr>
              <w:t xml:space="preserve"> 9、人工费调整执行陕建发〔2021〕1097号人工费调整文件；</w:t>
            </w:r>
            <w:r>
              <w:br/>
            </w:r>
            <w:r>
              <w:rPr>
                <w:rFonts w:ascii="仿宋_GB2312" w:hAnsi="仿宋_GB2312" w:cs="仿宋_GB2312" w:eastAsia="仿宋_GB2312"/>
              </w:rPr>
              <w:t xml:space="preserve"> 10、养老失业保险执行陕建发[2021]1021号文件《关于全省统一停止收缴建筑业劳保费用》；</w:t>
            </w:r>
            <w:r>
              <w:br/>
            </w:r>
            <w:r>
              <w:rPr>
                <w:rFonts w:ascii="仿宋_GB2312" w:hAnsi="仿宋_GB2312" w:cs="仿宋_GB2312" w:eastAsia="仿宋_GB2312"/>
              </w:rPr>
              <w:t xml:space="preserve"> 11、信息价执行陕西工程造价信息（2025年5月材料信息价）、专业测定价及市场价；</w:t>
            </w:r>
            <w:r>
              <w:br/>
            </w:r>
            <w:r>
              <w:rPr>
                <w:rFonts w:ascii="仿宋_GB2312" w:hAnsi="仿宋_GB2312" w:cs="仿宋_GB2312" w:eastAsia="仿宋_GB2312"/>
              </w:rPr>
              <w:t xml:space="preserve">  12、编制软件采用广联达GCCP6.0(版本号：6.4100.23.122)。</w:t>
            </w:r>
          </w:p>
          <w:p>
            <w:pPr>
              <w:pStyle w:val="null3"/>
            </w:pPr>
            <w:r>
              <w:rPr>
                <w:rFonts w:ascii="仿宋_GB2312" w:hAnsi="仿宋_GB2312" w:cs="仿宋_GB2312" w:eastAsia="仿宋_GB2312"/>
              </w:rPr>
              <w:t>二、工期：</w:t>
            </w:r>
            <w:r>
              <w:rPr>
                <w:rFonts w:ascii="仿宋_GB2312" w:hAnsi="仿宋_GB2312" w:cs="仿宋_GB2312" w:eastAsia="仿宋_GB2312"/>
                <w:sz w:val="21"/>
              </w:rPr>
              <w:t>合同签订后</w:t>
            </w:r>
            <w:r>
              <w:rPr>
                <w:rFonts w:ascii="仿宋_GB2312" w:hAnsi="仿宋_GB2312" w:cs="仿宋_GB2312" w:eastAsia="仿宋_GB2312"/>
                <w:sz w:val="21"/>
              </w:rPr>
              <w:t>40日历日</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工程质量符合国家现行有关施工质量验收规范要求“合格”标准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满足国家行业相关标准及磋商文件相关要求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（一）采购标的对应的中小企业划分标准所属行业为建筑业。建筑业的划型标准为：营业收入80000万元以下或资产总额 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（二）需要落实的政府采购政策：1、《国务院办公厅关于建立政府强制采购节能产品制度的通知》（国办发〔2007〕51号）2、《财政部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 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（三）本项目为综合单价合同，最终固定单价以最终总报价/首次总报价的比例等比例下浮。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格式.docx 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格式.docx 已标价工程量清单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格式.docx 已标价工程量清单 报价函 标的清单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格式.docx 报价函 标的清单 响应函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格式.docx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供应商须具有建筑工程施工总承包叁级及以上资质及安全生产许可证</w:t>
            </w:r>
          </w:p>
        </w:tc>
        <w:tc>
          <w:tcPr>
            <w:tcW w:type="dxa" w:w="1661"/>
          </w:tcPr>
          <w:p>
            <w:pPr>
              <w:pStyle w:val="null3"/>
            </w:pPr>
            <w:r>
              <w:rPr>
                <w:rFonts w:ascii="仿宋_GB2312" w:hAnsi="仿宋_GB2312" w:cs="仿宋_GB2312" w:eastAsia="仿宋_GB2312"/>
              </w:rPr>
              <w:t>格式.docx 已标价工程量清单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供应商拟派项目负责人在本单位注册具有建筑工程专业二级及以上注册建造师证书及安全考核合格证,且无在建（无在建承诺格式自拟）</w:t>
            </w:r>
          </w:p>
        </w:tc>
        <w:tc>
          <w:tcPr>
            <w:tcW w:type="dxa" w:w="1661"/>
          </w:tcPr>
          <w:p>
            <w:pPr>
              <w:pStyle w:val="null3"/>
            </w:pPr>
            <w:r>
              <w:rPr>
                <w:rFonts w:ascii="仿宋_GB2312" w:hAnsi="仿宋_GB2312" w:cs="仿宋_GB2312" w:eastAsia="仿宋_GB2312"/>
              </w:rPr>
              <w:t>格式.docx 已标价工程量清单 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参加政府采购活动前3年内在经营活动中没有重大违法记录的书面声明；其中：重大违法记录是指供应商因违法经营受到刑事处罚或者责令停产停业、吊销许可证或者执照 、较大数额罚款等行政处罚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参加政府采购活动前3年内在经营活动中没有重大违法记录的书面声明，其中：重大违法记录是指供应商因违法经营受到刑事处罚或者责令停产停业、吊销许可证或者执照、较大数额罚款等行政处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税收缴纳凭证及社会保险缴纳的凭证：供应商在本项目磋商响应文件递交截止时间前六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已标价工程量清单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供应商2023年或2024年经审计的财务报告（事业法人可提供部门决算报告）或基本户银行出具的资信证明或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已标价工程量清单 报价函 标的清单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已标价工程量清单 报价函 标的清单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格式.docx 已标价工程量清单 报价函 标的清单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格式.docx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1、响应文件报价：内容无重大缺漏项，报价唯一，且没有超过采购预算或最高限价；2、响应文件有效期：提交首次响应文件的截止之日起不少于90天；3、响应文件有效性：响应文件的签署、加盖印章合格有效；提供的各种证明文件、数据、资料真实有效；4、工期：满足磋商文件要求；5、授权委托书：满足磋商文件要求。</w:t>
            </w:r>
          </w:p>
        </w:tc>
        <w:tc>
          <w:tcPr>
            <w:tcW w:type="dxa" w:w="1661"/>
          </w:tcPr>
          <w:p>
            <w:pPr>
              <w:pStyle w:val="null3"/>
            </w:pPr>
            <w:r>
              <w:rPr>
                <w:rFonts w:ascii="仿宋_GB2312" w:hAnsi="仿宋_GB2312" w:cs="仿宋_GB2312" w:eastAsia="仿宋_GB2312"/>
              </w:rPr>
              <w:t>格式.docx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总体施工组织布置及规划</w:t>
            </w:r>
          </w:p>
        </w:tc>
        <w:tc>
          <w:tcPr>
            <w:tcW w:type="dxa" w:w="2492"/>
          </w:tcPr>
          <w:p>
            <w:pPr>
              <w:pStyle w:val="null3"/>
            </w:pPr>
            <w:r>
              <w:rPr>
                <w:rFonts w:ascii="仿宋_GB2312" w:hAnsi="仿宋_GB2312" w:cs="仿宋_GB2312" w:eastAsia="仿宋_GB2312"/>
              </w:rPr>
              <w:t>针对本项目提供科学、可行、合理的总体施工组织布置及规划。总体施工组织布置及规划科学、合理、可行得10分；基本科学 、基本合理、可行得8分；较科学 、较合理、较可行得6分；科学性一般、合理性一般、可行性一般得4分；含糊不清、欠缺可行性得2分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施工方案、方法与技术措施</w:t>
            </w:r>
          </w:p>
        </w:tc>
        <w:tc>
          <w:tcPr>
            <w:tcW w:type="dxa" w:w="2492"/>
          </w:tcPr>
          <w:p>
            <w:pPr>
              <w:pStyle w:val="null3"/>
            </w:pPr>
            <w:r>
              <w:rPr>
                <w:rFonts w:ascii="仿宋_GB2312" w:hAnsi="仿宋_GB2312" w:cs="仿宋_GB2312" w:eastAsia="仿宋_GB2312"/>
              </w:rPr>
              <w:t>针对本项目提供科学、可行、合理的施工方案、方法与技术措施。 施工方案、方法与技术措施科学、合理、可行得10分；基本科学 、基本合理、可行得8分；较科学 、较合理、较可行得6分；科学性一般、合理性一般、可行性一般得4分；含糊不清、欠缺可行性得2分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质量保证体系及措施</w:t>
            </w:r>
          </w:p>
        </w:tc>
        <w:tc>
          <w:tcPr>
            <w:tcW w:type="dxa" w:w="2492"/>
          </w:tcPr>
          <w:p>
            <w:pPr>
              <w:pStyle w:val="null3"/>
            </w:pPr>
            <w:r>
              <w:rPr>
                <w:rFonts w:ascii="仿宋_GB2312" w:hAnsi="仿宋_GB2312" w:cs="仿宋_GB2312" w:eastAsia="仿宋_GB2312"/>
              </w:rPr>
              <w:t>针对本项目提供的项目质量保证体系及措施科学、合理、可行。 质量保证体系及措施 科学、合理、可行得5分；质量保证体系及措施较科学、较合理、 较可行得3分；质量保证体系及措施含糊不清、欠缺可行性得1分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针对本项目提供的项目安全保证措施科学、合理、可行。 安全保证措施科学、合理、可行得5分；安全保证措施较科学、较合理、较可行得3分；安全保证措施含糊不清、欠缺可行性得1分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项目进度计划和工期目标</w:t>
            </w:r>
          </w:p>
        </w:tc>
        <w:tc>
          <w:tcPr>
            <w:tcW w:type="dxa" w:w="2492"/>
          </w:tcPr>
          <w:p>
            <w:pPr>
              <w:pStyle w:val="null3"/>
            </w:pPr>
            <w:r>
              <w:rPr>
                <w:rFonts w:ascii="仿宋_GB2312" w:hAnsi="仿宋_GB2312" w:cs="仿宋_GB2312" w:eastAsia="仿宋_GB2312"/>
              </w:rPr>
              <w:t>针对本项目提供的项目进度计划和工期目标，项目进度计划和工期目标科学、合理、可行。项目进度计划和工期目标科学、合理、可行得5分；项目进度计划和工期目标科学、合理性一般、可行性一般得3分；项目进度计划和工期目标含糊不清、欠缺可行性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项目风险预测与防范 ，事故应急预案</w:t>
            </w:r>
          </w:p>
        </w:tc>
        <w:tc>
          <w:tcPr>
            <w:tcW w:type="dxa" w:w="2492"/>
          </w:tcPr>
          <w:p>
            <w:pPr>
              <w:pStyle w:val="null3"/>
            </w:pPr>
            <w:r>
              <w:rPr>
                <w:rFonts w:ascii="仿宋_GB2312" w:hAnsi="仿宋_GB2312" w:cs="仿宋_GB2312" w:eastAsia="仿宋_GB2312"/>
              </w:rPr>
              <w:t>项目风险预测与防范，事故应急预案。 项目风险预测与防范，事故应急预案科学、合理、可行得5分；项目风险预测与防范，事故应急预案较科学、较合理、较可行得 3分；项目风险预测与防范，事故应急预案含糊不清、欠缺可行性得1分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拟投入本项目主要机具、设备和劳动力配置情况</w:t>
            </w:r>
          </w:p>
        </w:tc>
        <w:tc>
          <w:tcPr>
            <w:tcW w:type="dxa" w:w="2492"/>
          </w:tcPr>
          <w:p>
            <w:pPr>
              <w:pStyle w:val="null3"/>
            </w:pPr>
            <w:r>
              <w:rPr>
                <w:rFonts w:ascii="仿宋_GB2312" w:hAnsi="仿宋_GB2312" w:cs="仿宋_GB2312" w:eastAsia="仿宋_GB2312"/>
              </w:rPr>
              <w:t>拟投入本项目主要机具、设备和劳动力配置情况，磋商小组根据拟投入本项目设备情况综合评审自主打分。 拟投入的主要机具、设备和劳动力十分充足、充分满足项目需要得10分；拟投入的主要机具、设备和劳动力充足、能满足项目需要得8分；拟投入的主要机具、设备和劳动力较充足、基本满足项目需要得6分；拟投入的主要机具、设备和劳动力数量一般、勉强满足项目需要得4分；拟投入的主要机具、设备和劳动力数量较少、满足项目需要存在困难得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2022年6月1日以来承接过类似项目的合同证明（以合同的签订日期为准）（每提供一个得2分，满分1 0分）（提供加盖公章的合同关键页复印件）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质量保修承诺</w:t>
            </w:r>
          </w:p>
        </w:tc>
        <w:tc>
          <w:tcPr>
            <w:tcW w:type="dxa" w:w="2492"/>
          </w:tcPr>
          <w:p>
            <w:pPr>
              <w:pStyle w:val="null3"/>
            </w:pPr>
            <w:r>
              <w:rPr>
                <w:rFonts w:ascii="仿宋_GB2312" w:hAnsi="仿宋_GB2312" w:cs="仿宋_GB2312" w:eastAsia="仿宋_GB2312"/>
              </w:rPr>
              <w:t>质量保修承诺完整、科学、合理、可行得5分；质量保修承诺较完整、较科学、较合理、较可行得3分；质量保修承诺笼统、欠缺可行性得1分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后续服务措施承诺</w:t>
            </w:r>
          </w:p>
        </w:tc>
        <w:tc>
          <w:tcPr>
            <w:tcW w:type="dxa" w:w="2492"/>
          </w:tcPr>
          <w:p>
            <w:pPr>
              <w:pStyle w:val="null3"/>
            </w:pPr>
            <w:r>
              <w:rPr>
                <w:rFonts w:ascii="仿宋_GB2312" w:hAnsi="仿宋_GB2312" w:cs="仿宋_GB2312" w:eastAsia="仿宋_GB2312"/>
              </w:rPr>
              <w:t>后续服务措施承诺具体、详细、可行得5分；后续服务措施承诺较 具体、较详细、较可行得3分；后续服务措施承诺笼统、欠缺可行性得1分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 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详见附件：格式.docx</w:t>
      </w:r>
    </w:p>
    <w:p>
      <w:pPr>
        <w:pStyle w:val="null3"/>
        <w:ind w:firstLine="960"/>
      </w:pPr>
      <w:r>
        <w:rPr>
          <w:rFonts w:ascii="仿宋_GB2312" w:hAnsi="仿宋_GB2312" w:cs="仿宋_GB2312" w:eastAsia="仿宋_GB2312"/>
        </w:rPr>
        <w:t>详见附件：已标价工程量清单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