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版本号：SXZY-2025-ZC-113120250702002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节水改造设备采购项目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SXZY-2025-ZC-1131</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节水改造设备采购项目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节水改造设备采购项目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节水改造设备采购项目。具体详见本项目竞争性谈判文件。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采购包1（一标段：西安文理学院南广场绿地节水喷灌设施采购项目）：属于专门面向中小企业采购。</w:t>
      </w:r>
    </w:p>
    <w:p>
      <w:pPr>
        <w:pStyle w:val="null3"/>
      </w:pPr>
      <w:r>
        <w:rPr>
          <w:rFonts w:ascii="仿宋_GB2312" w:hAnsi="仿宋_GB2312" w:cs="仿宋_GB2312" w:eastAsia="仿宋_GB2312"/>
        </w:rPr>
        <w:t>采购包2（二标段：西安文理学院校园供水远程监测系统采购项目）：属于专门面向中小企业采购。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4、资质要求：供应商须具备国家建设行政主管部门颁发的市政公用工程施工总承包三级（含）及以上资质证书，及其有效的安全生产许可证。</w:t>
      </w:r>
    </w:p>
    <w:p>
      <w:pPr>
        <w:pStyle w:val="null3"/>
      </w:pPr>
      <w:r>
        <w:rPr>
          <w:rFonts w:ascii="仿宋_GB2312" w:hAnsi="仿宋_GB2312" w:cs="仿宋_GB2312" w:eastAsia="仿宋_GB2312"/>
        </w:rPr>
        <w:t>5、拟派项目负责人资质和专业要求：供应商拟派项目负责人需具备园林绿化相关专业中级（含）及以上职称证书。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4、资质要求：供应商须具备国家建设行政主管部门颁发的电子与智能化工程专业承包二级（含）及以上资质证书，及其有效的安全生产许可证。</w:t>
      </w:r>
    </w:p>
    <w:p>
      <w:pPr>
        <w:pStyle w:val="null3"/>
      </w:pPr>
      <w:r>
        <w:rPr>
          <w:rFonts w:ascii="仿宋_GB2312" w:hAnsi="仿宋_GB2312" w:cs="仿宋_GB2312" w:eastAsia="仿宋_GB2312"/>
        </w:rPr>
        <w:t>5、拟派项目负责人资质和专业要求：供应商拟派项目负责人需具备水利水电专业二级（含）及以上注册建造师证书或水利行业相关专业中级（含）及以上职称证书。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采购包1：198,641.60元</w:t>
            </w:r>
          </w:p>
          <w:p>
            <w:pPr>
              <w:pStyle w:val="null3"/>
            </w:pPr>
            <w:r>
              <w:rPr>
                <w:rFonts w:ascii="仿宋_GB2312" w:hAnsi="仿宋_GB2312" w:cs="仿宋_GB2312" w:eastAsia="仿宋_GB2312"/>
              </w:rPr>
              <w:t>采购包2：422,000.00元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节水改造设备采购项目。具体详见本项目竞争性谈判文件。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198,641.60</w:t>
      </w:r>
    </w:p>
    <w:p>
      <w:pPr>
        <w:pStyle w:val="null3"/>
      </w:pPr>
      <w:r>
        <w:rPr>
          <w:rFonts w:ascii="仿宋_GB2312" w:hAnsi="仿宋_GB2312" w:cs="仿宋_GB2312" w:eastAsia="仿宋_GB2312"/>
        </w:rPr>
        <w:t>采购包最高限价（元）: 198,641.60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一标段：西安文理学院南广场绿地节水喷灌设施采购项目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198,641.60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422,000.00</w:t>
      </w:r>
    </w:p>
    <w:p>
      <w:pPr>
        <w:pStyle w:val="null3"/>
      </w:pPr>
      <w:r>
        <w:rPr>
          <w:rFonts w:ascii="仿宋_GB2312" w:hAnsi="仿宋_GB2312" w:cs="仿宋_GB2312" w:eastAsia="仿宋_GB2312"/>
        </w:rPr>
        <w:t>采购包最高限价（元）: 422,000.00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二标段：西安文理学院校园供水远程监测系统采购项目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标的名称：一标段：西安文理学院南广场绿地节水喷灌设施采购项目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9"/>
              <w:gridCol w:w="412"/>
              <w:gridCol w:w="1579"/>
              <w:gridCol w:w="203"/>
              <w:gridCol w:w="180"/>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序号</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设备名称</w:t>
                  </w:r>
                </w:p>
              </w:tc>
              <w:tc>
                <w:tcPr>
                  <w:tcW w:type="dxa" w:w="1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设备规格及技术参数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数量</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单位</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喷灌喷头</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MP-3000喷灌喷头、可调角度和全圆，压力200kpa,射程8.2m,喷灌强度12m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/hr,配SJ千秋架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28</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DN65滤网式底阀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DN65软连接</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离心式自吸泵</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扬程</w:t>
                  </w:r>
                  <w:r>
                    <w:rPr>
                      <w:rFonts w:ascii="仿宋_GB2312" w:hAnsi="仿宋_GB2312" w:cs="仿宋_GB2312" w:eastAsia="仿宋_GB2312"/>
                      <w:sz w:val="22"/>
                      <w:color w:val="000000"/>
                    </w:rPr>
                    <w:t>30m,功率4kw.吸程6m,流量10m³/h</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DN65水上式底阀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DN50软连接</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DN50蝶阀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DN50止回阀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DN50真空压力表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法兰阀门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DN50压力调节阀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DN50电磁阀</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PGV-151电磁阀：可通过外/内泄水简单快速的手动控制电磁阀，特殊双层隔膜的密封设计，有效防止阀体漏水，配备24 V电磁头，保持型活塞审计，工作温度范围:小于 66° C</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DN100电磁阀</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常开型</w:t>
                  </w:r>
                  <w:r>
                    <w:rPr>
                      <w:rFonts w:ascii="仿宋_GB2312" w:hAnsi="仿宋_GB2312" w:cs="仿宋_GB2312" w:eastAsia="仿宋_GB2312"/>
                      <w:sz w:val="22"/>
                      <w:color w:val="000000"/>
                    </w:rPr>
                    <w:t>220V</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解码器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ICD100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解码控制器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ACC99D-PP</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灌溉控制器遥控器接收器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ROAM-XL-KIT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气候传感器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Solar Sync Sen</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土壤湿度传感器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Soil Clik</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继电器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Schneider Electric LC1D09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继电器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施耐德</w:t>
                  </w:r>
                  <w:r>
                    <w:rPr>
                      <w:rFonts w:ascii="仿宋_GB2312" w:hAnsi="仿宋_GB2312" w:cs="仿宋_GB2312" w:eastAsia="仿宋_GB2312"/>
                      <w:sz w:val="22"/>
                      <w:color w:val="000000"/>
                    </w:rPr>
                    <w:t>REXL2TMBU</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继电器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施耐德</w:t>
                  </w:r>
                  <w:r>
                    <w:rPr>
                      <w:rFonts w:ascii="仿宋_GB2312" w:hAnsi="仿宋_GB2312" w:cs="仿宋_GB2312" w:eastAsia="仿宋_GB2312"/>
                      <w:sz w:val="22"/>
                      <w:color w:val="000000"/>
                    </w:rPr>
                    <w:t>RXM2AB2BD</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继电器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接线端子排</w:t>
                  </w:r>
                  <w:r>
                    <w:rPr>
                      <w:rFonts w:ascii="仿宋_GB2312" w:hAnsi="仿宋_GB2312" w:cs="仿宋_GB2312" w:eastAsia="仿宋_GB2312"/>
                      <w:sz w:val="22"/>
                      <w:color w:val="000000"/>
                    </w:rPr>
                    <w:t>Phoenix UT 2.5-3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真空接触器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CJX2-2510 380V</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真空接触器</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CJX2-3210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电子浮球阀</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水泵控制电子浮球阀</w:t>
                  </w:r>
                  <w:r>
                    <w:rPr>
                      <w:rFonts w:ascii="仿宋_GB2312" w:hAnsi="仿宋_GB2312" w:cs="仿宋_GB2312" w:eastAsia="仿宋_GB2312"/>
                      <w:sz w:val="22"/>
                      <w:color w:val="000000"/>
                    </w:rPr>
                    <w:t>AC220V/8A/IP68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电子浮球阀</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主阀控制电子浮球阀</w:t>
                  </w:r>
                  <w:r>
                    <w:rPr>
                      <w:rFonts w:ascii="仿宋_GB2312" w:hAnsi="仿宋_GB2312" w:cs="仿宋_GB2312" w:eastAsia="仿宋_GB2312"/>
                      <w:sz w:val="22"/>
                      <w:color w:val="000000"/>
                    </w:rPr>
                    <w:t>AC220V/15A/IP68.双触点设计（常开+常闭）</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电子浮球阀</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备用，</w:t>
                  </w:r>
                  <w:r>
                    <w:rPr>
                      <w:rFonts w:ascii="仿宋_GB2312" w:hAnsi="仿宋_GB2312" w:cs="仿宋_GB2312" w:eastAsia="仿宋_GB2312"/>
                      <w:sz w:val="22"/>
                      <w:color w:val="000000"/>
                    </w:rPr>
                    <w:t>AC220V/15A/IP68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接地装置</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00"/>
                    </w:rPr>
                    <w:t>6#裸铜线及接地铜棒</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管材及管件</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电缆及辅材</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基础及土建工程</w:t>
                  </w:r>
                </w:p>
              </w:tc>
              <w:tc>
                <w:tcPr>
                  <w:tcW w:type="dxa" w:w="1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2"/>
                      <w:color w:val="000000"/>
                    </w:rPr>
                    <w:t>上表列明品牌或型号的，所列品牌或型号仅起参考作用，供应商可选用其他产品替代，但所替代产品要相当于或优于参考品牌或型号主要功能及其技术参数主要性能要求。</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标的名称：二标段：西安文理学院校园供水远程监测系统采购项目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3"/>
              <w:gridCol w:w="382"/>
              <w:gridCol w:w="1487"/>
              <w:gridCol w:w="234"/>
              <w:gridCol w:w="226"/>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一、管道在线计量设施</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18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名称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单位</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DN40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DN50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DN65</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214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DN65</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DN80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210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DN80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DN80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DN100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DN100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DN100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DN125</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DN150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二、软件平台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8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阀门控制系统</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18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监控系统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上表列明品牌或型号的，所列品牌或型号仅起参考作用，供应商可选用其他产品替代，但所替代产品要相当于或优于参考品牌或型号主要功能及其技术参数主要性能要求。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合同签订后25天内供货安装完毕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合同签订后25天内供货安装完毕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1.质量保修范围：本项目全部内容；2.质量保修期：3年；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1.质量保修范围：本项目全部内容；2.质量保修期：3年；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具体详见买卖合同相应条款。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具体详见买卖合同相应条款。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 （2）、响应产品属于节能产品政府采购品目清单/环境标志产品政府采购品目清单中应优先采购的产品范围，响应报价相同的，按供应商提供的优先采购产品认证证书数量由多到少顺序排列。 （3）、技术、质量、成果标准：若有最新相关规范和标准，按照最新现行国家、省、市相关规范和标准执行，若技术参数中有过期或废止的规范和标准，不作为废标处理。 （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 （5）、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本项目共分为两个合同包，采取按包号顺序定标兼投不兼中原则，按照合同包号顺序确定成交候选人(合同包1的第一成交候选人，不作为其余合同包的成交候选人推荐,以此类推)，同一家供应商不可同时成交多个合同包。 （7）、成交供应商在领取成交通知书前，需向采购代理机构提交加盖公章的纸质版响应文件三套，成交供应商应保持响应文件纸质版内容与系统上传内容完全一致，否则将承担一切法律责任。 （8）、本项目采购包1“中小企业声明函”中应将以下标的内容分别列出：1、喷灌喷头；2、法兰阀门；3、法兰阀门；4、离心式自吸泵；5、法兰阀门；6、法兰阀门；7、法兰阀门；8、法兰阀门；9、法兰阀门；10、法兰阀门；11、DN50电磁阀；12、DN100电磁阀；13、解码器；14、解码控制器；15、灌溉控制器遥控器接收器；16、气候传感器；17、土壤湿度传感器；18、继电器；19、继电器；20、继电器；21、继电器；22、真空接触器；23、真空接触器；24、电子浮球阀；25、电子浮球阀；26、电子浮球阀；28、管材及管件；29、电缆及辅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 （2）、响应产品属于节能产品政府采购品目清单/环境标志产品政府采购品目清单中应优先采购的产品范围，响应报价相同的，按供应商提供的优先采购产品认证证书数量由多到少顺序排列。 （3）、技术、质量、成果标准：若有最新相关规范和标准，按照最新现行国家、省、市相关规范和标准执行，若技术参数中有过期或废止的规范和标准，不作为废标处理。 （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 （5）、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本项目共分为两个合同包，采取按包号顺序定标兼投不兼中原则，按照合同包号顺序确定成交候选人(合同包1的第一成交候选人，不作为其余合同包的成交候选人推荐,以此类推)，同一家供应商不可同时成交多个合同包。 （7）、成交供应商在领取成交通知书前，需向采购代理机构提交加盖公章的纸质版响应文件三套，成交供应商应保持响应文件纸质版内容与系统上传内容完全一致，否则将承担一切法律责任。 （8）、本项目采购包2“中小企业声明函”中应将以下标的内容分别列出：NBIOT物联网智能冷水表（DN50）；机械阀（DN50）；数据采集终端；物联网卡(数据)；开关电源；监测箱；电源防雷器；电缆铺设（含破路及修复）；NBIOT物联网智能冷水表（DN65）；NBIOT物联网智能冷水表（DN80）；机械阀（DN80）；NBIOT物联网智能冷水表（DN100）；机械阀（DN100）；NBIOT物联网智能冷水表（DN150）；机械阀（DN150）；阀门控制系统；监控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供应商须具备国家建设行政主管部门颁发的市政公用工程施工总承包三级（含）及以上资质证书，及其有效的安全生产许可证。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供应商拟派项目负责人需具备园林绿化相关专业中级（含）及以上职称证书。</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供应商须具备国家建设行政主管部门颁发的电子与智能化工程专业承包二级（含）及以上资质证书，及其有效的安全生产许可证。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供应商拟派项目负责人需具备水利水电专业二级（含）及以上注册建造师证书或水利行业相关专业中级（含）及以上职称证书。</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供应商需在项目电子化交易系统中按要求填写《报价表》并进行电子签章。</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供应商需在项目电子化交易系统中按要求填写《报价表》并进行电子签章。</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