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版本号：SDZC2025-12020250709002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2025年不动产权籍调查平台运维、不动产“互联网+”运维和不动产大厅桌面设备运维项目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SDZC2025-120</w:t>
      </w:r>
      <w:r>
        <w:br/>
      </w:r>
      <w:r>
        <w:br/>
      </w:r>
      <w:r>
        <w:br/>
      </w:r>
    </w:p>
    <w:p>
      <w:pPr>
        <w:pStyle w:val="null3"/>
        <w:jc w:val="center"/>
        <w:outlineLvl w:val="2"/>
      </w:pPr>
      <w:r>
        <w:rPr>
          <w:rFonts w:ascii="仿宋_GB2312" w:hAnsi="仿宋_GB2312" w:cs="仿宋_GB2312" w:eastAsia="仿宋_GB2312"/>
          <w:sz w:val="28"/>
          <w:b/>
        </w:rPr>
        <w:t>西安市不动产信息档案管理中心</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西安市不动产信息档案管理中心</w:t>
      </w:r>
      <w:r>
        <w:rPr>
          <w:rFonts w:ascii="仿宋_GB2312" w:hAnsi="仿宋_GB2312" w:cs="仿宋_GB2312" w:eastAsia="仿宋_GB2312"/>
        </w:rPr>
        <w:t>委托，拟对</w:t>
      </w:r>
      <w:r>
        <w:rPr>
          <w:rFonts w:ascii="仿宋_GB2312" w:hAnsi="仿宋_GB2312" w:cs="仿宋_GB2312" w:eastAsia="仿宋_GB2312"/>
        </w:rPr>
        <w:t>2025年不动产权籍调查平台运维、不动产“互联网+”运维和不动产大厅桌面设备运维项目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SDZC2025-120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2025年不动产权籍调查平台运维、不动产“互联网+”运维和不动产大厅桌面设备运维项目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2025年不动产权籍调查平台运维、不动产“互联网+”运维和不动产大厅桌面设备运维项目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采购包1（2025年不动产权籍调查平台运维项目）：属于专门面向中小企业采购。</w:t>
      </w:r>
    </w:p>
    <w:p>
      <w:pPr>
        <w:pStyle w:val="null3"/>
      </w:pPr>
      <w:r>
        <w:rPr>
          <w:rFonts w:ascii="仿宋_GB2312" w:hAnsi="仿宋_GB2312" w:cs="仿宋_GB2312" w:eastAsia="仿宋_GB2312"/>
        </w:rPr>
        <w:t>采购包2（2025年不动产“互联网+”运维）：属于专门面向中小企业采购。</w:t>
      </w:r>
    </w:p>
    <w:p>
      <w:pPr>
        <w:pStyle w:val="null3"/>
      </w:pPr>
      <w:r>
        <w:rPr>
          <w:rFonts w:ascii="仿宋_GB2312" w:hAnsi="仿宋_GB2312" w:cs="仿宋_GB2312" w:eastAsia="仿宋_GB2312"/>
        </w:rPr>
        <w:t>采购包3（2025年不动产大厅桌面设备运维）：属于专门面向中小企业采购。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1、提供供应商合法注册的法人或其他组织的营业执照等证明文件或自然人的身份证明：提供供应商合法注册的法人或其他组织的营业执照等证明文件或自然人的身份证明；</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参加招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投标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查询：单位负责人为同一人或者存在直接控股、管理关系的不同供应商，不得参加同一合同项下的政府采购活动（根据财库【2019】38号文规定，此项在投标截止日当天在“国家企业信用信息公示系统”进行查询，截图留档；如网站无供应商信息的，供应商须提供相关证明资料或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1、提供供应商合法注册的法人或其他组织的营业执照等证明文件或自然人的身份证明：提供供应商合法注册的法人或其他组织的营业执照等证明文件或自然人的身份证明；</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参加招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投标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查询：单位负责人为同一人或者存在直接控股、管理关系的不同供应商，不得参加同一合同项下的政府采购活动（根据财库【2019】38号文规定，此项在投标截止日当天在“国家企业信用信息公示系统”进行查询，截图留档；如网站无供应商信息的，供应商须提供相关证明资料或书面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1、提供供应商合法注册的法人或其他组织的营业执照等证明文件或自然人的身份证明：提供供应商合法注册的法人或其他组织的营业执照等证明文件或自然人的身份证明；</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参加招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投标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查询：单位负责人为同一人或者存在直接控股、管理关系的不同供应商，不得参加同一合同项下的政府采购活动（根据财库【2019】38号文规定，此项在投标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西安市不动产信息档案管理中心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13991810696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陕西省西安市未央区陕西省西安市经开区张家堡转盘东南角正尚国际金融广场1幢1单元10703室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郅龙（8号工位）、张爱君、魏蕾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p>
          <w:p>
            <w:pPr>
              <w:pStyle w:val="null3"/>
            </w:pPr>
            <w:r>
              <w:rPr>
                <w:rFonts w:ascii="仿宋_GB2312" w:hAnsi="仿宋_GB2312" w:cs="仿宋_GB2312" w:eastAsia="仿宋_GB2312"/>
              </w:rPr>
              <w:t>采购包2：730,000.00元</w:t>
            </w:r>
          </w:p>
          <w:p>
            <w:pPr>
              <w:pStyle w:val="null3"/>
            </w:pPr>
            <w:r>
              <w:rPr>
                <w:rFonts w:ascii="仿宋_GB2312" w:hAnsi="仿宋_GB2312" w:cs="仿宋_GB2312" w:eastAsia="仿宋_GB2312"/>
              </w:rPr>
              <w:t>采购包3：950,000.00元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服务费收费标准参照原《国家计委关于印发&lt;招标代理服务收费管理暂行办法&gt;的通知》(计价格〔2002〕1980号)、《国家发展改革委关于降低部分建设项目收费标准规范收费行为等有关问题的通知》(发改价格〔2011〕534号)规定执行。1.开户行名称：陕西上德招标有限公司 2.开 户 行：西安银行股份有限公司文景路支行 3.账 号：7070 1151 0000 0135 22 4.西安银行文景路行号：313791000509 财务部联系方式： 029-86673953、029-86518381、029-89299829、029-89293231 转813 备注：供应商在汇款时须注明项目编号+项目简称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西安市不动产信息档案管理中心</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西安市不动产信息档案管理中心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西安市不动产信息档案管理中心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详见招标文件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联系人：郅龙（8号工位）</w:t>
      </w:r>
    </w:p>
    <w:p>
      <w:pPr>
        <w:pStyle w:val="null3"/>
      </w:pPr>
      <w:r>
        <w:rPr>
          <w:rFonts w:ascii="仿宋_GB2312" w:hAnsi="仿宋_GB2312" w:cs="仿宋_GB2312" w:eastAsia="仿宋_GB2312"/>
        </w:rPr>
        <w:t>联系电话：029-86673953、86518381、89299829、89293231</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2025年不动产权籍调查平台运维、不动产“互联网+”运维和不动产大厅桌面设备运维项目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2025年不动产权籍调查平台运维项目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730,000.00</w:t>
      </w:r>
    </w:p>
    <w:p>
      <w:pPr>
        <w:pStyle w:val="null3"/>
      </w:pPr>
      <w:r>
        <w:rPr>
          <w:rFonts w:ascii="仿宋_GB2312" w:hAnsi="仿宋_GB2312" w:cs="仿宋_GB2312" w:eastAsia="仿宋_GB2312"/>
        </w:rPr>
        <w:t>采购包最高限价（元）: 730,000.00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2025年不动产“互联网+”运维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950,000.00</w:t>
      </w:r>
    </w:p>
    <w:p>
      <w:pPr>
        <w:pStyle w:val="null3"/>
      </w:pPr>
      <w:r>
        <w:rPr>
          <w:rFonts w:ascii="仿宋_GB2312" w:hAnsi="仿宋_GB2312" w:cs="仿宋_GB2312" w:eastAsia="仿宋_GB2312"/>
        </w:rPr>
        <w:t>采购包最高限价（元）: 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2025年不动产大厅桌面设备运维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标的名称：2025年不动产权籍调查平台运维项目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20" w:after="120"/>
              <w:jc w:val="left"/>
              <w:outlineLvl w:val="1"/>
            </w:pPr>
            <w:r>
              <w:rPr>
                <w:rFonts w:ascii="仿宋_GB2312" w:hAnsi="仿宋_GB2312" w:cs="仿宋_GB2312" w:eastAsia="仿宋_GB2312"/>
                <w:sz w:val="36"/>
                <w:b/>
              </w:rPr>
              <w:t>（一）项目概述</w:t>
            </w:r>
          </w:p>
          <w:p>
            <w:pPr>
              <w:pStyle w:val="null3"/>
              <w:ind w:firstLine="480"/>
              <w:jc w:val="both"/>
            </w:pPr>
            <w:r>
              <w:rPr>
                <w:rFonts w:ascii="仿宋_GB2312" w:hAnsi="仿宋_GB2312" w:cs="仿宋_GB2312" w:eastAsia="仿宋_GB2312"/>
              </w:rPr>
              <w:t>根据《国土资源部关于做好不动产权籍调查工作的通知》（国土资发[2015]41号）文件要求，结合对我市不动产权籍调查工作现状、业务管理现状和数据利用现状等基本情况，2</w:t>
            </w:r>
            <w:r>
              <w:rPr>
                <w:rFonts w:ascii="仿宋_GB2312" w:hAnsi="仿宋_GB2312" w:cs="仿宋_GB2312" w:eastAsia="仿宋_GB2312"/>
              </w:rPr>
              <w:t>019</w:t>
            </w:r>
            <w:r>
              <w:rPr>
                <w:rFonts w:ascii="仿宋_GB2312" w:hAnsi="仿宋_GB2312" w:cs="仿宋_GB2312" w:eastAsia="仿宋_GB2312"/>
              </w:rPr>
              <w:t>年西安市不动产信息档案管理中心启动了权籍调查数据库建设项目，通过建立全市统一的不动产权籍调查数据库，实现了对全市不动产权籍调查数据管理标准的统一，规范了不动产权籍调查测绘市场，为全市不动产统一登记的顺利开展提供可靠的数据支撑。为了更好地完善不动产权籍调查工作，进一步提升信息化工作的效率，保障整个不动产权调综合管理平台运行的安全稳定，现需对权调数据整合系统、权调在线服务系统、权调成果管理系统、权调土地审图软件及权调房产审图软件进行日常运行维护，以保障系统正常运行。</w:t>
            </w:r>
          </w:p>
          <w:p>
            <w:pPr>
              <w:pStyle w:val="null3"/>
              <w:spacing w:before="120" w:after="120"/>
              <w:jc w:val="left"/>
              <w:outlineLvl w:val="1"/>
            </w:pPr>
            <w:r>
              <w:rPr>
                <w:rFonts w:ascii="仿宋_GB2312" w:hAnsi="仿宋_GB2312" w:cs="仿宋_GB2312" w:eastAsia="仿宋_GB2312"/>
                <w:sz w:val="36"/>
                <w:b/>
              </w:rPr>
              <w:t>（二）现有业务系统概况</w:t>
            </w:r>
          </w:p>
          <w:p>
            <w:pPr>
              <w:pStyle w:val="null3"/>
              <w:ind w:firstLine="480"/>
              <w:jc w:val="both"/>
            </w:pPr>
            <w:r>
              <w:rPr>
                <w:rFonts w:ascii="仿宋_GB2312" w:hAnsi="仿宋_GB2312" w:cs="仿宋_GB2312" w:eastAsia="仿宋_GB2312"/>
              </w:rPr>
              <w:t>不动产</w:t>
            </w:r>
            <w:r>
              <w:rPr>
                <w:rFonts w:ascii="仿宋_GB2312" w:hAnsi="仿宋_GB2312" w:cs="仿宋_GB2312" w:eastAsia="仿宋_GB2312"/>
              </w:rPr>
              <w:t>权调</w:t>
            </w:r>
            <w:r>
              <w:rPr>
                <w:rFonts w:ascii="仿宋_GB2312" w:hAnsi="仿宋_GB2312" w:cs="仿宋_GB2312" w:eastAsia="仿宋_GB2312"/>
              </w:rPr>
              <w:t>业务</w:t>
            </w:r>
            <w:r>
              <w:rPr>
                <w:rFonts w:ascii="仿宋_GB2312" w:hAnsi="仿宋_GB2312" w:cs="仿宋_GB2312" w:eastAsia="仿宋_GB2312"/>
              </w:rPr>
              <w:t>服务系统</w:t>
            </w:r>
            <w:r>
              <w:rPr>
                <w:rFonts w:ascii="仿宋_GB2312" w:hAnsi="仿宋_GB2312" w:cs="仿宋_GB2312" w:eastAsia="仿宋_GB2312"/>
              </w:rPr>
              <w:t>（</w:t>
            </w:r>
            <w:r>
              <w:rPr>
                <w:rFonts w:ascii="仿宋_GB2312" w:hAnsi="仿宋_GB2312" w:cs="仿宋_GB2312" w:eastAsia="仿宋_GB2312"/>
              </w:rPr>
              <w:t>企业端</w:t>
            </w:r>
            <w:r>
              <w:rPr>
                <w:rFonts w:ascii="仿宋_GB2312" w:hAnsi="仿宋_GB2312" w:cs="仿宋_GB2312" w:eastAsia="仿宋_GB2312"/>
              </w:rPr>
              <w:t>）</w:t>
            </w:r>
            <w:r>
              <w:rPr>
                <w:rFonts w:ascii="仿宋_GB2312" w:hAnsi="仿宋_GB2312" w:cs="仿宋_GB2312" w:eastAsia="仿宋_GB2312"/>
              </w:rPr>
              <w:t>和权调成果管理系统</w:t>
            </w:r>
            <w:r>
              <w:rPr>
                <w:rFonts w:ascii="仿宋_GB2312" w:hAnsi="仿宋_GB2312" w:cs="仿宋_GB2312" w:eastAsia="仿宋_GB2312"/>
              </w:rPr>
              <w:t>（</w:t>
            </w:r>
            <w:r>
              <w:rPr>
                <w:rFonts w:ascii="仿宋_GB2312" w:hAnsi="仿宋_GB2312" w:cs="仿宋_GB2312" w:eastAsia="仿宋_GB2312"/>
              </w:rPr>
              <w:t>管理端</w:t>
            </w:r>
            <w:r>
              <w:rPr>
                <w:rFonts w:ascii="仿宋_GB2312" w:hAnsi="仿宋_GB2312" w:cs="仿宋_GB2312" w:eastAsia="仿宋_GB2312"/>
              </w:rPr>
              <w:t>）</w:t>
            </w:r>
            <w:r>
              <w:rPr>
                <w:rFonts w:ascii="仿宋_GB2312" w:hAnsi="仿宋_GB2312" w:cs="仿宋_GB2312" w:eastAsia="仿宋_GB2312"/>
              </w:rPr>
              <w:t>建设整体采用 B/S 架构，数据库采用 Oracle Database 11g，空间数据引擎采用 ESRI ARCSDE10.2和 ESRI ArcGIS Server 10.2，系统实施核心业务需采用分布式数据库、工作流、XML 等技术手段。</w:t>
            </w:r>
          </w:p>
          <w:p>
            <w:pPr>
              <w:pStyle w:val="null3"/>
              <w:ind w:firstLine="480"/>
              <w:jc w:val="both"/>
            </w:pPr>
            <w:r>
              <w:rPr>
                <w:rFonts w:ascii="仿宋_GB2312" w:hAnsi="仿宋_GB2312" w:cs="仿宋_GB2312" w:eastAsia="仿宋_GB2312"/>
              </w:rPr>
              <w:t>权调土地审图软件和房产审图软件建设整体采用 C/S 架构，基于 ArcGIS10.2平台研发，提供系统应用程序和桌面应用程序。</w:t>
            </w:r>
          </w:p>
          <w:p>
            <w:pPr>
              <w:pStyle w:val="null3"/>
              <w:spacing w:before="120" w:after="120"/>
              <w:jc w:val="both"/>
              <w:outlineLvl w:val="1"/>
            </w:pPr>
            <w:r>
              <w:rPr>
                <w:rFonts w:ascii="仿宋_GB2312" w:hAnsi="仿宋_GB2312" w:cs="仿宋_GB2312" w:eastAsia="仿宋_GB2312"/>
                <w:sz w:val="36"/>
                <w:b/>
              </w:rPr>
              <w:t>（三）建设目标</w:t>
            </w:r>
          </w:p>
          <w:p>
            <w:pPr>
              <w:pStyle w:val="null3"/>
              <w:ind w:firstLine="480"/>
              <w:jc w:val="both"/>
            </w:pPr>
            <w:r>
              <w:rPr>
                <w:rFonts w:ascii="仿宋_GB2312" w:hAnsi="仿宋_GB2312" w:cs="仿宋_GB2312" w:eastAsia="仿宋_GB2312"/>
              </w:rPr>
              <w:t>保证</w:t>
            </w:r>
            <w:r>
              <w:rPr>
                <w:rFonts w:ascii="仿宋_GB2312" w:hAnsi="仿宋_GB2312" w:cs="仿宋_GB2312" w:eastAsia="仿宋_GB2312"/>
              </w:rPr>
              <w:t>不动产</w:t>
            </w:r>
            <w:r>
              <w:rPr>
                <w:rFonts w:ascii="仿宋_GB2312" w:hAnsi="仿宋_GB2312" w:cs="仿宋_GB2312" w:eastAsia="仿宋_GB2312"/>
              </w:rPr>
              <w:t>权调</w:t>
            </w:r>
            <w:r>
              <w:rPr>
                <w:rFonts w:ascii="仿宋_GB2312" w:hAnsi="仿宋_GB2312" w:cs="仿宋_GB2312" w:eastAsia="仿宋_GB2312"/>
              </w:rPr>
              <w:t>业务</w:t>
            </w:r>
            <w:r>
              <w:rPr>
                <w:rFonts w:ascii="仿宋_GB2312" w:hAnsi="仿宋_GB2312" w:cs="仿宋_GB2312" w:eastAsia="仿宋_GB2312"/>
              </w:rPr>
              <w:t>服务系统</w:t>
            </w:r>
            <w:r>
              <w:rPr>
                <w:rFonts w:ascii="仿宋_GB2312" w:hAnsi="仿宋_GB2312" w:cs="仿宋_GB2312" w:eastAsia="仿宋_GB2312"/>
              </w:rPr>
              <w:t>、</w:t>
            </w:r>
            <w:r>
              <w:rPr>
                <w:rFonts w:ascii="仿宋_GB2312" w:hAnsi="仿宋_GB2312" w:cs="仿宋_GB2312" w:eastAsia="仿宋_GB2312"/>
              </w:rPr>
              <w:t>土地审图软件、房产审图软件</w:t>
            </w:r>
            <w:r>
              <w:rPr>
                <w:rFonts w:ascii="仿宋_GB2312" w:hAnsi="仿宋_GB2312" w:cs="仿宋_GB2312" w:eastAsia="仿宋_GB2312"/>
              </w:rPr>
              <w:t>的程序、数据和配置等始终处于正常可用的状态，保证系统能适应用户工作和环境的变化，有效地提供服务，同时维护其安全性、可靠性和稳定性，以便在生产和使用过程中充分发挥其性能和功能。</w:t>
            </w:r>
          </w:p>
          <w:p>
            <w:pPr>
              <w:pStyle w:val="null3"/>
              <w:spacing w:before="120" w:after="120"/>
              <w:jc w:val="both"/>
              <w:outlineLvl w:val="1"/>
            </w:pPr>
            <w:r>
              <w:rPr>
                <w:rFonts w:ascii="仿宋_GB2312" w:hAnsi="仿宋_GB2312" w:cs="仿宋_GB2312" w:eastAsia="仿宋_GB2312"/>
                <w:sz w:val="36"/>
                <w:b/>
              </w:rPr>
              <w:t>（四）系统运行维护要求</w:t>
            </w:r>
          </w:p>
          <w:p>
            <w:pPr>
              <w:pStyle w:val="null3"/>
              <w:jc w:val="both"/>
            </w:pPr>
            <w:r>
              <w:rPr>
                <w:rFonts w:ascii="仿宋_GB2312" w:hAnsi="仿宋_GB2312" w:cs="仿宋_GB2312" w:eastAsia="仿宋_GB2312"/>
                <w:b/>
              </w:rPr>
              <w:t>1</w:t>
            </w:r>
            <w:r>
              <w:rPr>
                <w:rFonts w:ascii="仿宋_GB2312" w:hAnsi="仿宋_GB2312" w:cs="仿宋_GB2312" w:eastAsia="仿宋_GB2312"/>
                <w:b/>
              </w:rPr>
              <w:t>、原则要求</w:t>
            </w:r>
          </w:p>
          <w:p>
            <w:pPr>
              <w:pStyle w:val="null3"/>
              <w:ind w:firstLine="480"/>
              <w:jc w:val="both"/>
            </w:pPr>
            <w:r>
              <w:rPr>
                <w:rFonts w:ascii="仿宋_GB2312" w:hAnsi="仿宋_GB2312" w:cs="仿宋_GB2312" w:eastAsia="仿宋_GB2312"/>
              </w:rPr>
              <w:t>（1）运行维护的方案应具有先进性。设计方案应采用市场领先且成熟应用的技术，能适应不动产行业信息化未来技术发展的趋势；</w:t>
            </w:r>
          </w:p>
          <w:p>
            <w:pPr>
              <w:pStyle w:val="null3"/>
              <w:ind w:firstLine="480"/>
              <w:jc w:val="both"/>
            </w:pPr>
            <w:r>
              <w:rPr>
                <w:rFonts w:ascii="仿宋_GB2312" w:hAnsi="仿宋_GB2312" w:cs="仿宋_GB2312" w:eastAsia="仿宋_GB2312"/>
              </w:rPr>
              <w:t>（2）运行维护的方案应具有可扩展性。在运行维护过程中，在满足现有需求的基础上，必须考虑到系统应当有充分的可扩展性，以适应不动产权籍调查业务未来的发展需要；</w:t>
            </w:r>
          </w:p>
          <w:p>
            <w:pPr>
              <w:pStyle w:val="null3"/>
              <w:ind w:firstLine="480"/>
              <w:jc w:val="both"/>
            </w:pPr>
            <w:r>
              <w:rPr>
                <w:rFonts w:ascii="仿宋_GB2312" w:hAnsi="仿宋_GB2312" w:cs="仿宋_GB2312" w:eastAsia="仿宋_GB2312"/>
              </w:rPr>
              <w:t>（3）运行维护的方案应具备标准性和开放性。在本项目建设过程中，从网络协议、操作系统到应用软件应遵循通用的国际或行业标准；</w:t>
            </w:r>
          </w:p>
          <w:p>
            <w:pPr>
              <w:pStyle w:val="null3"/>
              <w:ind w:firstLine="480"/>
              <w:jc w:val="both"/>
            </w:pPr>
            <w:r>
              <w:rPr>
                <w:rFonts w:ascii="仿宋_GB2312" w:hAnsi="仿宋_GB2312" w:cs="仿宋_GB2312" w:eastAsia="仿宋_GB2312"/>
              </w:rPr>
              <w:t>（4）运行维护的方案应具有易维护性。运行维护后的系统应方便二次维护管理及快速开发、部署和优化；</w:t>
            </w:r>
          </w:p>
          <w:p>
            <w:pPr>
              <w:pStyle w:val="null3"/>
              <w:ind w:firstLine="480"/>
              <w:jc w:val="both"/>
            </w:pPr>
            <w:r>
              <w:rPr>
                <w:rFonts w:ascii="仿宋_GB2312" w:hAnsi="仿宋_GB2312" w:cs="仿宋_GB2312" w:eastAsia="仿宋_GB2312"/>
              </w:rPr>
              <w:t>（5）系统运行维护时，需充分考虑现有系统各业务子系统的网络、数据处理、安全等设施，对现有资源进行有效合理地整合。</w:t>
            </w:r>
          </w:p>
          <w:p>
            <w:pPr>
              <w:pStyle w:val="null3"/>
              <w:jc w:val="both"/>
            </w:pPr>
            <w:r>
              <w:rPr>
                <w:rFonts w:ascii="仿宋_GB2312" w:hAnsi="仿宋_GB2312" w:cs="仿宋_GB2312" w:eastAsia="仿宋_GB2312"/>
                <w:b/>
              </w:rPr>
              <w:t>2</w:t>
            </w:r>
            <w:r>
              <w:rPr>
                <w:rFonts w:ascii="仿宋_GB2312" w:hAnsi="仿宋_GB2312" w:cs="仿宋_GB2312" w:eastAsia="仿宋_GB2312"/>
                <w:b/>
              </w:rPr>
              <w:t>、系统运维技术方案要求</w:t>
            </w:r>
          </w:p>
          <w:p>
            <w:pPr>
              <w:pStyle w:val="null3"/>
              <w:ind w:firstLine="480"/>
              <w:jc w:val="both"/>
            </w:pPr>
            <w:r>
              <w:rPr>
                <w:rFonts w:ascii="仿宋_GB2312" w:hAnsi="仿宋_GB2312" w:cs="仿宋_GB2312" w:eastAsia="仿宋_GB2312"/>
              </w:rPr>
              <w:t>（1）系统运行维护应有明确的服务内容、服务方式、服务标准、服务流程等；</w:t>
            </w:r>
          </w:p>
          <w:p>
            <w:pPr>
              <w:pStyle w:val="null3"/>
              <w:ind w:firstLine="480"/>
              <w:jc w:val="both"/>
            </w:pPr>
            <w:r>
              <w:rPr>
                <w:rFonts w:ascii="仿宋_GB2312" w:hAnsi="仿宋_GB2312" w:cs="仿宋_GB2312" w:eastAsia="仿宋_GB2312"/>
              </w:rPr>
              <w:t>（2）系统运行维护必须适应采购人现有技术环境，在不影响现有系统业务办理的前提下实现平台统一运行维护，运行维护应符合现有技术规范；</w:t>
            </w:r>
          </w:p>
          <w:p>
            <w:pPr>
              <w:pStyle w:val="null3"/>
              <w:ind w:firstLine="480"/>
              <w:jc w:val="both"/>
            </w:pPr>
            <w:r>
              <w:rPr>
                <w:rFonts w:ascii="仿宋_GB2312" w:hAnsi="仿宋_GB2312" w:cs="仿宋_GB2312" w:eastAsia="仿宋_GB2312"/>
              </w:rPr>
              <w:t>（3）系统运行维护需要支持国家不动产管理最新政策，对新政策响应时间必须小于5个工作日，功能覆盖房产管理业务的各个方面；</w:t>
            </w:r>
          </w:p>
          <w:p>
            <w:pPr>
              <w:pStyle w:val="null3"/>
              <w:ind w:firstLine="480"/>
              <w:jc w:val="both"/>
            </w:pPr>
            <w:r>
              <w:rPr>
                <w:rFonts w:ascii="仿宋_GB2312" w:hAnsi="仿宋_GB2312" w:cs="仿宋_GB2312" w:eastAsia="仿宋_GB2312"/>
              </w:rPr>
              <w:t>（4）要求系统性能稳定可靠，响应能力强，系统维护后的并发用户数不低于300、响应时间不超过3-5秒；</w:t>
            </w:r>
          </w:p>
          <w:p>
            <w:pPr>
              <w:pStyle w:val="null3"/>
              <w:ind w:firstLine="480"/>
              <w:jc w:val="both"/>
            </w:pPr>
            <w:r>
              <w:rPr>
                <w:rFonts w:ascii="仿宋_GB2312" w:hAnsi="仿宋_GB2312" w:cs="仿宋_GB2312" w:eastAsia="仿宋_GB2312"/>
              </w:rPr>
              <w:t>（5）要求运维过程必须以不影响现有平台日常业务使用为前提。</w:t>
            </w:r>
          </w:p>
          <w:p>
            <w:pPr>
              <w:pStyle w:val="null3"/>
              <w:spacing w:before="120" w:after="120"/>
              <w:jc w:val="left"/>
            </w:pPr>
            <w:r>
              <w:rPr>
                <w:rFonts w:ascii="仿宋_GB2312" w:hAnsi="仿宋_GB2312" w:cs="仿宋_GB2312" w:eastAsia="仿宋_GB2312"/>
                <w:b/>
              </w:rPr>
              <w:t>3、人员要求</w:t>
            </w:r>
          </w:p>
          <w:p>
            <w:pPr>
              <w:pStyle w:val="null3"/>
              <w:ind w:firstLine="480"/>
              <w:jc w:val="both"/>
            </w:pPr>
            <w:r>
              <w:rPr>
                <w:rFonts w:ascii="仿宋_GB2312" w:hAnsi="仿宋_GB2312" w:cs="仿宋_GB2312" w:eastAsia="仿宋_GB2312"/>
              </w:rPr>
              <w:t>提供</w:t>
            </w:r>
            <w:r>
              <w:rPr>
                <w:rFonts w:ascii="仿宋_GB2312" w:hAnsi="仿宋_GB2312" w:cs="仿宋_GB2312" w:eastAsia="仿宋_GB2312"/>
              </w:rPr>
              <w:t>5</w:t>
            </w:r>
            <w:r>
              <w:rPr>
                <w:rFonts w:ascii="仿宋_GB2312" w:hAnsi="仿宋_GB2312" w:cs="仿宋_GB2312" w:eastAsia="仿宋_GB2312"/>
              </w:rPr>
              <w:t>人的驻场服务，帮助客户提升整体技术能力，及时为用户提供系统需求采集及分析、系统培训、业务咨询、问题解答、故障诊断、故障排除等提供运维服务。</w:t>
            </w:r>
          </w:p>
          <w:p>
            <w:pPr>
              <w:pStyle w:val="null3"/>
              <w:spacing w:before="120" w:after="120"/>
              <w:jc w:val="both"/>
              <w:outlineLvl w:val="1"/>
            </w:pPr>
            <w:r>
              <w:rPr>
                <w:rFonts w:ascii="仿宋_GB2312" w:hAnsi="仿宋_GB2312" w:cs="仿宋_GB2312" w:eastAsia="仿宋_GB2312"/>
                <w:sz w:val="36"/>
                <w:b/>
              </w:rPr>
              <w:t>（五）系统介绍及功能描述</w:t>
            </w:r>
          </w:p>
          <w:p>
            <w:pPr>
              <w:pStyle w:val="null3"/>
              <w:spacing w:before="120" w:after="120"/>
              <w:jc w:val="both"/>
              <w:outlineLvl w:val="2"/>
            </w:pPr>
            <w:r>
              <w:rPr>
                <w:rFonts w:ascii="仿宋_GB2312" w:hAnsi="仿宋_GB2312" w:cs="仿宋_GB2312" w:eastAsia="仿宋_GB2312"/>
                <w:sz w:val="28"/>
                <w:b/>
              </w:rPr>
              <w:t>1、不动产</w:t>
            </w:r>
            <w:r>
              <w:rPr>
                <w:rFonts w:ascii="仿宋_GB2312" w:hAnsi="仿宋_GB2312" w:cs="仿宋_GB2312" w:eastAsia="仿宋_GB2312"/>
                <w:sz w:val="28"/>
                <w:b/>
              </w:rPr>
              <w:t>权籍调查业务服务系统（政务外）</w:t>
            </w:r>
          </w:p>
          <w:p>
            <w:pPr>
              <w:pStyle w:val="null3"/>
              <w:ind w:firstLine="480"/>
              <w:jc w:val="both"/>
            </w:pPr>
            <w:r>
              <w:rPr>
                <w:rFonts w:ascii="仿宋_GB2312" w:hAnsi="仿宋_GB2312" w:cs="仿宋_GB2312" w:eastAsia="仿宋_GB2312"/>
              </w:rPr>
              <w:t>（1）系统介绍</w:t>
            </w:r>
          </w:p>
          <w:p>
            <w:pPr>
              <w:pStyle w:val="null3"/>
              <w:ind w:firstLine="480"/>
              <w:jc w:val="both"/>
            </w:pPr>
            <w:r>
              <w:rPr>
                <w:rFonts w:ascii="仿宋_GB2312" w:hAnsi="仿宋_GB2312" w:cs="仿宋_GB2312" w:eastAsia="仿宋_GB2312"/>
              </w:rPr>
              <w:t>不动产权籍调查业务服务系统（政务外），实现政务</w:t>
            </w:r>
            <w:r>
              <w:rPr>
                <w:rFonts w:ascii="仿宋_GB2312" w:hAnsi="仿宋_GB2312" w:cs="仿宋_GB2312" w:eastAsia="仿宋_GB2312"/>
              </w:rPr>
              <w:t>外</w:t>
            </w:r>
            <w:r>
              <w:rPr>
                <w:rFonts w:ascii="仿宋_GB2312" w:hAnsi="仿宋_GB2312" w:cs="仿宋_GB2312" w:eastAsia="仿宋_GB2312"/>
              </w:rPr>
              <w:t>网权调审核数据与登记系统的交互，将楼盘表、附件材料、户图、权调报告推送至登记系统，实现报告的电子签章，同时实现权调楼盘表与住建楼盘表的数据挂接。</w:t>
            </w:r>
          </w:p>
          <w:p>
            <w:pPr>
              <w:pStyle w:val="null3"/>
              <w:ind w:firstLine="480"/>
              <w:jc w:val="both"/>
            </w:pPr>
            <w:r>
              <w:rPr>
                <w:rFonts w:ascii="仿宋_GB2312" w:hAnsi="仿宋_GB2312" w:cs="仿宋_GB2312" w:eastAsia="仿宋_GB2312"/>
              </w:rPr>
              <w:t>（2）相关子系统及系统功能模块列表</w:t>
            </w:r>
          </w:p>
          <w:p>
            <w:pPr>
              <w:pStyle w:val="null3"/>
              <w:ind w:firstLine="480"/>
              <w:jc w:val="both"/>
            </w:pPr>
            <w:r>
              <w:rPr>
                <w:rFonts w:ascii="仿宋_GB2312" w:hAnsi="仿宋_GB2312" w:cs="仿宋_GB2312" w:eastAsia="仿宋_GB2312"/>
              </w:rPr>
              <w:t>本次</w:t>
            </w:r>
            <w:r>
              <w:rPr>
                <w:rFonts w:ascii="仿宋_GB2312" w:hAnsi="仿宋_GB2312" w:cs="仿宋_GB2312" w:eastAsia="仿宋_GB2312"/>
              </w:rPr>
              <w:t>不动产权籍调查业务服务系统（政务外）</w:t>
            </w:r>
            <w:r>
              <w:rPr>
                <w:rFonts w:ascii="仿宋_GB2312" w:hAnsi="仿宋_GB2312" w:cs="仿宋_GB2312" w:eastAsia="仿宋_GB2312"/>
              </w:rPr>
              <w:t>具体功能模块如下表：</w:t>
            </w:r>
          </w:p>
          <w:tbl>
            <w:tblPr>
              <w:tblBorders>
                <w:top w:val="none" w:color="000000" w:sz="4"/>
                <w:left w:val="none" w:color="000000" w:sz="4"/>
                <w:bottom w:val="none" w:color="000000" w:sz="4"/>
                <w:right w:val="none" w:color="000000" w:sz="4"/>
                <w:insideH w:val="none"/>
                <w:insideV w:val="none"/>
              </w:tblBorders>
            </w:tblPr>
            <w:tblGrid>
              <w:gridCol w:w="590"/>
              <w:gridCol w:w="935"/>
              <w:gridCol w:w="1028"/>
            </w:tblGrid>
            <w:tr>
              <w:tc>
                <w:tcPr>
                  <w:tcW w:type="dxa" w:w="590"/>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子系统名称</w:t>
                  </w:r>
                </w:p>
              </w:tc>
              <w:tc>
                <w:tcPr>
                  <w:tcW w:type="dxa" w:w="935"/>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模块</w:t>
                  </w:r>
                </w:p>
              </w:tc>
              <w:tc>
                <w:tcPr>
                  <w:tcW w:type="dxa" w:w="1028"/>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功能菜单</w:t>
                  </w:r>
                </w:p>
              </w:tc>
            </w:tr>
            <w:tr>
              <w:tc>
                <w:tcPr>
                  <w:tcW w:type="dxa" w:w="5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管理端(政务外网)</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首页</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90"/>
                  <w:vMerge/>
                  <w:tcBorders>
                    <w:top w:val="none" w:color="000000" w:sz="4"/>
                    <w:left w:val="single" w:color="000000" w:sz="4"/>
                    <w:bottom w:val="single" w:color="000000" w:sz="4"/>
                    <w:right w:val="single" w:color="000000" w:sz="4"/>
                  </w:tcBorders>
                </w:tcPr>
                <w:p/>
              </w:tc>
              <w:tc>
                <w:tcPr>
                  <w:tcW w:type="dxa" w:w="9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数据同步</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宗地数据同步</w:t>
                  </w:r>
                </w:p>
              </w:tc>
            </w:tr>
            <w:tr>
              <w:tc>
                <w:tcPr>
                  <w:tcW w:type="dxa" w:w="590"/>
                  <w:vMerge/>
                  <w:tcBorders>
                    <w:top w:val="none" w:color="000000" w:sz="4"/>
                    <w:left w:val="single" w:color="000000" w:sz="4"/>
                    <w:bottom w:val="single" w:color="000000" w:sz="4"/>
                    <w:right w:val="single" w:color="000000" w:sz="4"/>
                  </w:tcBorders>
                </w:tcPr>
                <w:p/>
              </w:tc>
              <w:tc>
                <w:tcPr>
                  <w:tcW w:type="dxa" w:w="935"/>
                  <w:vMerge/>
                  <w:tcBorders>
                    <w:top w:val="none" w:color="000000" w:sz="4"/>
                    <w:left w:val="none" w:color="000000" w:sz="4"/>
                    <w:bottom w:val="single" w:color="000000" w:sz="4"/>
                    <w:right w:val="single" w:color="000000" w:sz="4"/>
                  </w:tcBorders>
                </w:tcP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农林水数据同步</w:t>
                  </w:r>
                </w:p>
              </w:tc>
            </w:tr>
            <w:tr>
              <w:tc>
                <w:tcPr>
                  <w:tcW w:type="dxa" w:w="590"/>
                  <w:vMerge/>
                  <w:tcBorders>
                    <w:top w:val="none" w:color="000000" w:sz="4"/>
                    <w:left w:val="single" w:color="000000" w:sz="4"/>
                    <w:bottom w:val="single" w:color="000000" w:sz="4"/>
                    <w:right w:val="single" w:color="000000" w:sz="4"/>
                  </w:tcBorders>
                </w:tcPr>
                <w:p/>
              </w:tc>
              <w:tc>
                <w:tcPr>
                  <w:tcW w:type="dxa" w:w="935"/>
                  <w:vMerge/>
                  <w:tcBorders>
                    <w:top w:val="none" w:color="000000" w:sz="4"/>
                    <w:left w:val="none" w:color="000000" w:sz="4"/>
                    <w:bottom w:val="single" w:color="000000" w:sz="4"/>
                    <w:right w:val="single" w:color="000000" w:sz="4"/>
                  </w:tcBorders>
                </w:tcP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房产数据同步</w:t>
                  </w:r>
                </w:p>
              </w:tc>
            </w:tr>
            <w:tr>
              <w:tc>
                <w:tcPr>
                  <w:tcW w:type="dxa" w:w="590"/>
                  <w:vMerge/>
                  <w:tcBorders>
                    <w:top w:val="none" w:color="000000" w:sz="4"/>
                    <w:left w:val="single" w:color="000000" w:sz="4"/>
                    <w:bottom w:val="single" w:color="000000" w:sz="4"/>
                    <w:right w:val="single" w:color="000000" w:sz="4"/>
                  </w:tcBorders>
                </w:tcPr>
                <w:p/>
              </w:tc>
              <w:tc>
                <w:tcPr>
                  <w:tcW w:type="dxa" w:w="9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解除办理</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宗地解除</w:t>
                  </w:r>
                </w:p>
              </w:tc>
            </w:tr>
            <w:tr>
              <w:tc>
                <w:tcPr>
                  <w:tcW w:type="dxa" w:w="590"/>
                  <w:vMerge/>
                  <w:tcBorders>
                    <w:top w:val="none" w:color="000000" w:sz="4"/>
                    <w:left w:val="single" w:color="000000" w:sz="4"/>
                    <w:bottom w:val="single" w:color="000000" w:sz="4"/>
                    <w:right w:val="single" w:color="000000" w:sz="4"/>
                  </w:tcBorders>
                </w:tcPr>
                <w:p/>
              </w:tc>
              <w:tc>
                <w:tcPr>
                  <w:tcW w:type="dxa" w:w="935"/>
                  <w:vMerge/>
                  <w:tcBorders>
                    <w:top w:val="none" w:color="000000" w:sz="4"/>
                    <w:left w:val="none" w:color="000000" w:sz="4"/>
                    <w:bottom w:val="single" w:color="000000" w:sz="4"/>
                    <w:right w:val="single" w:color="000000" w:sz="4"/>
                  </w:tcBorders>
                </w:tcP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房产解除</w:t>
                  </w:r>
                </w:p>
              </w:tc>
            </w:tr>
            <w:tr>
              <w:tc>
                <w:tcPr>
                  <w:tcW w:type="dxa" w:w="590"/>
                  <w:vMerge/>
                  <w:tcBorders>
                    <w:top w:val="none" w:color="000000" w:sz="4"/>
                    <w:left w:val="single" w:color="000000" w:sz="4"/>
                    <w:bottom w:val="single" w:color="000000" w:sz="4"/>
                    <w:right w:val="single" w:color="000000" w:sz="4"/>
                  </w:tcBorders>
                </w:tcPr>
                <w:p/>
              </w:tc>
              <w:tc>
                <w:tcPr>
                  <w:tcW w:type="dxa" w:w="9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不动产单元表查询</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宗地单元表</w:t>
                  </w:r>
                </w:p>
              </w:tc>
            </w:tr>
            <w:tr>
              <w:tc>
                <w:tcPr>
                  <w:tcW w:type="dxa" w:w="590"/>
                  <w:vMerge/>
                  <w:tcBorders>
                    <w:top w:val="none" w:color="000000" w:sz="4"/>
                    <w:left w:val="single" w:color="000000" w:sz="4"/>
                    <w:bottom w:val="single" w:color="000000" w:sz="4"/>
                    <w:right w:val="single" w:color="000000" w:sz="4"/>
                  </w:tcBorders>
                </w:tcPr>
                <w:p/>
              </w:tc>
              <w:tc>
                <w:tcPr>
                  <w:tcW w:type="dxa" w:w="935"/>
                  <w:vMerge/>
                  <w:tcBorders>
                    <w:top w:val="none" w:color="000000" w:sz="4"/>
                    <w:left w:val="none" w:color="000000" w:sz="4"/>
                    <w:bottom w:val="single" w:color="000000" w:sz="4"/>
                    <w:right w:val="single" w:color="000000" w:sz="4"/>
                  </w:tcBorders>
                </w:tcP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楼盘表查询</w:t>
                  </w:r>
                </w:p>
              </w:tc>
            </w:tr>
            <w:tr>
              <w:tc>
                <w:tcPr>
                  <w:tcW w:type="dxa" w:w="590"/>
                  <w:vMerge/>
                  <w:tcBorders>
                    <w:top w:val="none" w:color="000000" w:sz="4"/>
                    <w:left w:val="single" w:color="000000" w:sz="4"/>
                    <w:bottom w:val="single" w:color="000000" w:sz="4"/>
                    <w:right w:val="single" w:color="000000" w:sz="4"/>
                  </w:tcBorders>
                </w:tcPr>
                <w:p/>
              </w:tc>
              <w:tc>
                <w:tcPr>
                  <w:tcW w:type="dxa" w:w="935"/>
                  <w:vMerge/>
                  <w:tcBorders>
                    <w:top w:val="none" w:color="000000" w:sz="4"/>
                    <w:left w:val="none" w:color="000000" w:sz="4"/>
                    <w:bottom w:val="single" w:color="000000" w:sz="4"/>
                    <w:right w:val="single" w:color="000000" w:sz="4"/>
                  </w:tcBorders>
                </w:tcP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房产单元表</w:t>
                  </w:r>
                </w:p>
              </w:tc>
            </w:tr>
            <w:tr>
              <w:tc>
                <w:tcPr>
                  <w:tcW w:type="dxa" w:w="590"/>
                  <w:vMerge/>
                  <w:tcBorders>
                    <w:top w:val="none" w:color="000000" w:sz="4"/>
                    <w:left w:val="single" w:color="000000" w:sz="4"/>
                    <w:bottom w:val="single" w:color="000000" w:sz="4"/>
                    <w:right w:val="single" w:color="000000" w:sz="4"/>
                  </w:tcBorders>
                </w:tcPr>
                <w:p/>
              </w:tc>
              <w:tc>
                <w:tcPr>
                  <w:tcW w:type="dxa" w:w="9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数据导入</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宗地单元表及附件</w:t>
                  </w:r>
                </w:p>
              </w:tc>
            </w:tr>
            <w:tr>
              <w:tc>
                <w:tcPr>
                  <w:tcW w:type="dxa" w:w="590"/>
                  <w:vMerge/>
                  <w:tcBorders>
                    <w:top w:val="none" w:color="000000" w:sz="4"/>
                    <w:left w:val="single" w:color="000000" w:sz="4"/>
                    <w:bottom w:val="single" w:color="000000" w:sz="4"/>
                    <w:right w:val="single" w:color="000000" w:sz="4"/>
                  </w:tcBorders>
                </w:tcPr>
                <w:p/>
              </w:tc>
              <w:tc>
                <w:tcPr>
                  <w:tcW w:type="dxa" w:w="935"/>
                  <w:vMerge/>
                  <w:tcBorders>
                    <w:top w:val="none" w:color="000000" w:sz="4"/>
                    <w:left w:val="none" w:color="000000" w:sz="4"/>
                    <w:bottom w:val="single" w:color="000000" w:sz="4"/>
                    <w:right w:val="single" w:color="000000" w:sz="4"/>
                  </w:tcBorders>
                </w:tcP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农林水数据导入</w:t>
                  </w:r>
                </w:p>
              </w:tc>
            </w:tr>
            <w:tr>
              <w:tc>
                <w:tcPr>
                  <w:tcW w:type="dxa" w:w="590"/>
                  <w:vMerge/>
                  <w:tcBorders>
                    <w:top w:val="none" w:color="000000" w:sz="4"/>
                    <w:left w:val="single" w:color="000000" w:sz="4"/>
                    <w:bottom w:val="single" w:color="000000" w:sz="4"/>
                    <w:right w:val="single" w:color="000000" w:sz="4"/>
                  </w:tcBorders>
                </w:tcPr>
                <w:p/>
              </w:tc>
              <w:tc>
                <w:tcPr>
                  <w:tcW w:type="dxa" w:w="935"/>
                  <w:vMerge/>
                  <w:tcBorders>
                    <w:top w:val="none" w:color="000000" w:sz="4"/>
                    <w:left w:val="none" w:color="000000" w:sz="4"/>
                    <w:bottom w:val="single" w:color="000000" w:sz="4"/>
                    <w:right w:val="single" w:color="000000" w:sz="4"/>
                  </w:tcBorders>
                </w:tcP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房产单元表及附件</w:t>
                  </w:r>
                </w:p>
              </w:tc>
            </w:tr>
            <w:tr>
              <w:tc>
                <w:tcPr>
                  <w:tcW w:type="dxa" w:w="590"/>
                  <w:vMerge/>
                  <w:tcBorders>
                    <w:top w:val="none" w:color="000000" w:sz="4"/>
                    <w:left w:val="single" w:color="000000" w:sz="4"/>
                    <w:bottom w:val="single" w:color="000000" w:sz="4"/>
                    <w:right w:val="single" w:color="000000" w:sz="4"/>
                  </w:tcBorders>
                </w:tcPr>
                <w:p/>
              </w:tc>
              <w:tc>
                <w:tcPr>
                  <w:tcW w:type="dxa" w:w="9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数据挂接</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不动产数据挂接</w:t>
                  </w:r>
                </w:p>
              </w:tc>
            </w:tr>
            <w:tr>
              <w:tc>
                <w:tcPr>
                  <w:tcW w:type="dxa" w:w="590"/>
                  <w:vMerge/>
                  <w:tcBorders>
                    <w:top w:val="none" w:color="000000" w:sz="4"/>
                    <w:left w:val="single" w:color="000000" w:sz="4"/>
                    <w:bottom w:val="single" w:color="000000" w:sz="4"/>
                    <w:right w:val="single" w:color="000000" w:sz="4"/>
                  </w:tcBorders>
                </w:tcPr>
                <w:p/>
              </w:tc>
              <w:tc>
                <w:tcPr>
                  <w:tcW w:type="dxa" w:w="935"/>
                  <w:vMerge/>
                  <w:tcBorders>
                    <w:top w:val="none" w:color="000000" w:sz="4"/>
                    <w:left w:val="none" w:color="000000" w:sz="4"/>
                    <w:bottom w:val="single" w:color="000000" w:sz="4"/>
                    <w:right w:val="single" w:color="000000" w:sz="4"/>
                  </w:tcBorders>
                </w:tcP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数据挂接日志</w:t>
                  </w:r>
                </w:p>
              </w:tc>
            </w:tr>
          </w:tbl>
          <w:p>
            <w:pPr>
              <w:pStyle w:val="null3"/>
              <w:ind w:firstLine="480"/>
              <w:jc w:val="both"/>
              <w:outlineLvl w:val="2"/>
            </w:pPr>
            <w:r>
              <w:rPr>
                <w:rFonts w:ascii="仿宋_GB2312" w:hAnsi="仿宋_GB2312" w:cs="仿宋_GB2312" w:eastAsia="仿宋_GB2312"/>
                <w:sz w:val="28"/>
                <w:b/>
              </w:rPr>
              <w:t>2、不动产</w:t>
            </w:r>
            <w:r>
              <w:rPr>
                <w:rFonts w:ascii="仿宋_GB2312" w:hAnsi="仿宋_GB2312" w:cs="仿宋_GB2312" w:eastAsia="仿宋_GB2312"/>
                <w:sz w:val="28"/>
                <w:b/>
              </w:rPr>
              <w:t>权籍调查业务服务系统（企业端）</w:t>
            </w:r>
          </w:p>
          <w:p>
            <w:pPr>
              <w:pStyle w:val="null3"/>
              <w:ind w:firstLine="480"/>
              <w:jc w:val="both"/>
            </w:pPr>
            <w:r>
              <w:rPr>
                <w:rFonts w:ascii="仿宋_GB2312" w:hAnsi="仿宋_GB2312" w:cs="仿宋_GB2312" w:eastAsia="仿宋_GB2312"/>
              </w:rPr>
              <w:t>（1）系统介绍</w:t>
            </w:r>
          </w:p>
          <w:p>
            <w:pPr>
              <w:pStyle w:val="null3"/>
              <w:ind w:firstLine="480"/>
              <w:jc w:val="both"/>
            </w:pPr>
            <w:r>
              <w:rPr>
                <w:rFonts w:ascii="仿宋_GB2312" w:hAnsi="仿宋_GB2312" w:cs="仿宋_GB2312" w:eastAsia="仿宋_GB2312"/>
              </w:rPr>
              <w:t>权调在线服务系统是对企业进行监管和服务的在线系统（政务内），使各类权调业务实现网上申报、网上查询，方便企业办事，提高审批效率，切实提升营商环境。系统主要功能包括测绘企业管理子系统和开发企业管理子系统。其中测绘企业管理子系统不仅能满足地籍（宗地）测绘企业的使用，也能满足房产测绘企业的使用。测绘企业管理子系统功能包括不动产编码申请、测绘成果备案申请、备案成果查询、变更审核和系统管理等，开发企业管理子系统功能包括已备案测绘成果查询、测绘成果入库申请、已入库测绘成果查询、变更申请和系统管理等。</w:t>
            </w:r>
          </w:p>
          <w:p>
            <w:pPr>
              <w:pStyle w:val="null3"/>
              <w:ind w:firstLine="480"/>
              <w:jc w:val="both"/>
            </w:pPr>
            <w:r>
              <w:rPr>
                <w:rFonts w:ascii="仿宋_GB2312" w:hAnsi="仿宋_GB2312" w:cs="仿宋_GB2312" w:eastAsia="仿宋_GB2312"/>
              </w:rPr>
              <w:t>（2）相关子系统及系统功能模块列表</w:t>
            </w:r>
          </w:p>
          <w:p>
            <w:pPr>
              <w:pStyle w:val="null3"/>
              <w:ind w:firstLine="480"/>
              <w:jc w:val="both"/>
            </w:pPr>
            <w:r>
              <w:rPr>
                <w:rFonts w:ascii="仿宋_GB2312" w:hAnsi="仿宋_GB2312" w:cs="仿宋_GB2312" w:eastAsia="仿宋_GB2312"/>
              </w:rPr>
              <w:t>本次权调在线服务系统相关业务系统运行维护的子系统及具体功能模块如下表：</w:t>
            </w:r>
          </w:p>
          <w:tbl>
            <w:tblPr>
              <w:tblBorders>
                <w:top w:val="none" w:color="000000" w:sz="4"/>
                <w:left w:val="none" w:color="000000" w:sz="4"/>
                <w:bottom w:val="none" w:color="000000" w:sz="4"/>
                <w:right w:val="none" w:color="000000" w:sz="4"/>
                <w:insideH w:val="none"/>
                <w:insideV w:val="none"/>
              </w:tblBorders>
            </w:tblPr>
            <w:tblGrid>
              <w:gridCol w:w="524"/>
              <w:gridCol w:w="1015"/>
              <w:gridCol w:w="1015"/>
            </w:tblGrid>
            <w:tr>
              <w:tc>
                <w:tcPr>
                  <w:tcW w:type="dxa" w:w="524"/>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子系统名称</w:t>
                  </w:r>
                </w:p>
              </w:tc>
              <w:tc>
                <w:tcPr>
                  <w:tcW w:type="dxa" w:w="1015"/>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模块</w:t>
                  </w:r>
                </w:p>
              </w:tc>
              <w:tc>
                <w:tcPr>
                  <w:tcW w:type="dxa" w:w="1015"/>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功能菜单</w:t>
                  </w:r>
                </w:p>
              </w:tc>
            </w:tr>
            <w:tr>
              <w:tc>
                <w:tcPr>
                  <w:tcW w:type="dxa" w:w="5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企业端</w:t>
                  </w: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首页</w:t>
                  </w: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4"/>
                  <w:vMerge/>
                  <w:tcBorders>
                    <w:top w:val="none" w:color="000000" w:sz="4"/>
                    <w:left w:val="single" w:color="000000" w:sz="4"/>
                    <w:bottom w:val="single" w:color="000000" w:sz="4"/>
                    <w:right w:val="single" w:color="000000" w:sz="4"/>
                  </w:tcBorders>
                </w:tcPr>
                <w:p/>
              </w:tc>
              <w:tc>
                <w:tcPr>
                  <w:tcW w:type="dxa" w:w="10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用户管理</w:t>
                  </w: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用户列表</w:t>
                  </w:r>
                </w:p>
              </w:tc>
            </w:tr>
            <w:tr>
              <w:tc>
                <w:tcPr>
                  <w:tcW w:type="dxa" w:w="524"/>
                  <w:vMerge/>
                  <w:tcBorders>
                    <w:top w:val="none" w:color="000000" w:sz="4"/>
                    <w:left w:val="single" w:color="000000" w:sz="4"/>
                    <w:bottom w:val="single" w:color="000000" w:sz="4"/>
                    <w:right w:val="single" w:color="000000" w:sz="4"/>
                  </w:tcBorders>
                </w:tcPr>
                <w:p/>
              </w:tc>
              <w:tc>
                <w:tcPr>
                  <w:tcW w:type="dxa" w:w="1015"/>
                  <w:vMerge/>
                  <w:tcBorders>
                    <w:top w:val="none" w:color="000000" w:sz="4"/>
                    <w:left w:val="none" w:color="000000" w:sz="4"/>
                    <w:bottom w:val="single" w:color="000000" w:sz="4"/>
                    <w:right w:val="single" w:color="000000" w:sz="4"/>
                  </w:tcBorders>
                </w:tcP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角色管理</w:t>
                  </w:r>
                </w:p>
              </w:tc>
            </w:tr>
            <w:tr>
              <w:tc>
                <w:tcPr>
                  <w:tcW w:type="dxa" w:w="524"/>
                  <w:vMerge/>
                  <w:tcBorders>
                    <w:top w:val="none" w:color="000000" w:sz="4"/>
                    <w:left w:val="single" w:color="000000" w:sz="4"/>
                    <w:bottom w:val="single" w:color="000000" w:sz="4"/>
                    <w:right w:val="single" w:color="000000" w:sz="4"/>
                  </w:tcBorders>
                </w:tcPr>
                <w:p/>
              </w:tc>
              <w:tc>
                <w:tcPr>
                  <w:tcW w:type="dxa" w:w="1015"/>
                  <w:vMerge/>
                  <w:tcBorders>
                    <w:top w:val="none" w:color="000000" w:sz="4"/>
                    <w:left w:val="none" w:color="000000" w:sz="4"/>
                    <w:bottom w:val="single" w:color="000000" w:sz="4"/>
                    <w:right w:val="single" w:color="000000" w:sz="4"/>
                  </w:tcBorders>
                </w:tcP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岗位管理</w:t>
                  </w:r>
                </w:p>
              </w:tc>
            </w:tr>
            <w:tr>
              <w:tc>
                <w:tcPr>
                  <w:tcW w:type="dxa" w:w="524"/>
                  <w:vMerge/>
                  <w:tcBorders>
                    <w:top w:val="none" w:color="000000" w:sz="4"/>
                    <w:left w:val="single" w:color="000000" w:sz="4"/>
                    <w:bottom w:val="single" w:color="000000" w:sz="4"/>
                    <w:right w:val="single" w:color="000000" w:sz="4"/>
                  </w:tcBorders>
                </w:tcPr>
                <w:p/>
              </w:tc>
              <w:tc>
                <w:tcPr>
                  <w:tcW w:type="dxa" w:w="10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项目衔接申请</w:t>
                  </w: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宗地项目衔接申请</w:t>
                  </w:r>
                </w:p>
              </w:tc>
            </w:tr>
            <w:tr>
              <w:tc>
                <w:tcPr>
                  <w:tcW w:type="dxa" w:w="524"/>
                  <w:vMerge/>
                  <w:tcBorders>
                    <w:top w:val="none" w:color="000000" w:sz="4"/>
                    <w:left w:val="single" w:color="000000" w:sz="4"/>
                    <w:bottom w:val="single" w:color="000000" w:sz="4"/>
                    <w:right w:val="single" w:color="000000" w:sz="4"/>
                  </w:tcBorders>
                </w:tcPr>
                <w:p/>
              </w:tc>
              <w:tc>
                <w:tcPr>
                  <w:tcW w:type="dxa" w:w="1015"/>
                  <w:vMerge/>
                  <w:tcBorders>
                    <w:top w:val="none" w:color="000000" w:sz="4"/>
                    <w:left w:val="none" w:color="000000" w:sz="4"/>
                    <w:bottom w:val="single" w:color="000000" w:sz="4"/>
                    <w:right w:val="single" w:color="000000" w:sz="4"/>
                  </w:tcBorders>
                </w:tcP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房产项目衔接申请</w:t>
                  </w:r>
                </w:p>
              </w:tc>
            </w:tr>
            <w:tr>
              <w:tc>
                <w:tcPr>
                  <w:tcW w:type="dxa" w:w="524"/>
                  <w:vMerge/>
                  <w:tcBorders>
                    <w:top w:val="none" w:color="000000" w:sz="4"/>
                    <w:left w:val="single" w:color="000000" w:sz="4"/>
                    <w:bottom w:val="single" w:color="000000" w:sz="4"/>
                    <w:right w:val="single" w:color="000000" w:sz="4"/>
                  </w:tcBorders>
                </w:tcPr>
                <w:p/>
              </w:tc>
              <w:tc>
                <w:tcPr>
                  <w:tcW w:type="dxa" w:w="10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成果审核申请</w:t>
                  </w: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宗地成果审核申请</w:t>
                  </w:r>
                </w:p>
              </w:tc>
            </w:tr>
            <w:tr>
              <w:tc>
                <w:tcPr>
                  <w:tcW w:type="dxa" w:w="524"/>
                  <w:vMerge/>
                  <w:tcBorders>
                    <w:top w:val="none" w:color="000000" w:sz="4"/>
                    <w:left w:val="single" w:color="000000" w:sz="4"/>
                    <w:bottom w:val="single" w:color="000000" w:sz="4"/>
                    <w:right w:val="single" w:color="000000" w:sz="4"/>
                  </w:tcBorders>
                </w:tcPr>
                <w:p/>
              </w:tc>
              <w:tc>
                <w:tcPr>
                  <w:tcW w:type="dxa" w:w="1015"/>
                  <w:vMerge/>
                  <w:tcBorders>
                    <w:top w:val="none" w:color="000000" w:sz="4"/>
                    <w:left w:val="none" w:color="000000" w:sz="4"/>
                    <w:bottom w:val="single" w:color="000000" w:sz="4"/>
                    <w:right w:val="single" w:color="000000" w:sz="4"/>
                  </w:tcBorders>
                </w:tcP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房产成果审核申请</w:t>
                  </w:r>
                </w:p>
              </w:tc>
            </w:tr>
            <w:tr>
              <w:tc>
                <w:tcPr>
                  <w:tcW w:type="dxa" w:w="524"/>
                  <w:vMerge/>
                  <w:tcBorders>
                    <w:top w:val="none" w:color="000000" w:sz="4"/>
                    <w:left w:val="single" w:color="000000" w:sz="4"/>
                    <w:bottom w:val="single" w:color="000000" w:sz="4"/>
                    <w:right w:val="single" w:color="000000" w:sz="4"/>
                  </w:tcBorders>
                </w:tcP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成果变更预审申请</w:t>
                  </w: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房产成果变更预审申请</w:t>
                  </w:r>
                </w:p>
              </w:tc>
            </w:tr>
            <w:tr>
              <w:tc>
                <w:tcPr>
                  <w:tcW w:type="dxa" w:w="524"/>
                  <w:vMerge/>
                  <w:tcBorders>
                    <w:top w:val="none" w:color="000000" w:sz="4"/>
                    <w:left w:val="single" w:color="000000" w:sz="4"/>
                    <w:bottom w:val="single" w:color="000000" w:sz="4"/>
                    <w:right w:val="single" w:color="000000" w:sz="4"/>
                  </w:tcBorders>
                </w:tcPr>
                <w:p/>
              </w:tc>
              <w:tc>
                <w:tcPr>
                  <w:tcW w:type="dxa" w:w="10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测绘机构信息更新管理</w:t>
                  </w: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企业信息管理</w:t>
                  </w:r>
                </w:p>
              </w:tc>
            </w:tr>
            <w:tr>
              <w:tc>
                <w:tcPr>
                  <w:tcW w:type="dxa" w:w="524"/>
                  <w:vMerge/>
                  <w:tcBorders>
                    <w:top w:val="none" w:color="000000" w:sz="4"/>
                    <w:left w:val="single" w:color="000000" w:sz="4"/>
                    <w:bottom w:val="single" w:color="000000" w:sz="4"/>
                    <w:right w:val="single" w:color="000000" w:sz="4"/>
                  </w:tcBorders>
                </w:tcPr>
                <w:p/>
              </w:tc>
              <w:tc>
                <w:tcPr>
                  <w:tcW w:type="dxa" w:w="1015"/>
                  <w:vMerge/>
                  <w:tcBorders>
                    <w:top w:val="none" w:color="000000" w:sz="4"/>
                    <w:left w:val="none" w:color="000000" w:sz="4"/>
                    <w:bottom w:val="single" w:color="000000" w:sz="4"/>
                    <w:right w:val="single" w:color="000000" w:sz="4"/>
                  </w:tcBorders>
                </w:tcP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人员信息管理</w:t>
                  </w:r>
                </w:p>
              </w:tc>
            </w:tr>
            <w:tr>
              <w:tc>
                <w:tcPr>
                  <w:tcW w:type="dxa" w:w="524"/>
                  <w:vMerge/>
                  <w:tcBorders>
                    <w:top w:val="none" w:color="000000" w:sz="4"/>
                    <w:left w:val="single" w:color="000000" w:sz="4"/>
                    <w:bottom w:val="single" w:color="000000" w:sz="4"/>
                    <w:right w:val="single" w:color="000000" w:sz="4"/>
                  </w:tcBorders>
                </w:tcPr>
                <w:p/>
              </w:tc>
              <w:tc>
                <w:tcPr>
                  <w:tcW w:type="dxa" w:w="1015"/>
                  <w:vMerge/>
                  <w:tcBorders>
                    <w:top w:val="none" w:color="000000" w:sz="4"/>
                    <w:left w:val="none" w:color="000000" w:sz="4"/>
                    <w:bottom w:val="single" w:color="000000" w:sz="4"/>
                    <w:right w:val="single" w:color="000000" w:sz="4"/>
                  </w:tcBorders>
                </w:tcP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仪器设备管理</w:t>
                  </w:r>
                </w:p>
              </w:tc>
            </w:tr>
            <w:tr>
              <w:tc>
                <w:tcPr>
                  <w:tcW w:type="dxa" w:w="524"/>
                  <w:vMerge/>
                  <w:tcBorders>
                    <w:top w:val="none" w:color="000000" w:sz="4"/>
                    <w:left w:val="single" w:color="000000" w:sz="4"/>
                    <w:bottom w:val="single" w:color="000000" w:sz="4"/>
                    <w:right w:val="single" w:color="000000" w:sz="4"/>
                  </w:tcBorders>
                </w:tcPr>
                <w:p/>
              </w:tc>
              <w:tc>
                <w:tcPr>
                  <w:tcW w:type="dxa" w:w="10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公示公告</w:t>
                  </w: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业务衔接结构公示</w:t>
                  </w:r>
                </w:p>
              </w:tc>
            </w:tr>
            <w:tr>
              <w:tc>
                <w:tcPr>
                  <w:tcW w:type="dxa" w:w="524"/>
                  <w:vMerge/>
                  <w:tcBorders>
                    <w:top w:val="none" w:color="000000" w:sz="4"/>
                    <w:left w:val="single" w:color="000000" w:sz="4"/>
                    <w:bottom w:val="single" w:color="000000" w:sz="4"/>
                    <w:right w:val="single" w:color="000000" w:sz="4"/>
                  </w:tcBorders>
                </w:tcPr>
                <w:p/>
              </w:tc>
              <w:tc>
                <w:tcPr>
                  <w:tcW w:type="dxa" w:w="1015"/>
                  <w:vMerge/>
                  <w:tcBorders>
                    <w:top w:val="none" w:color="000000" w:sz="4"/>
                    <w:left w:val="none" w:color="000000" w:sz="4"/>
                    <w:bottom w:val="single" w:color="000000" w:sz="4"/>
                    <w:right w:val="single" w:color="000000" w:sz="4"/>
                  </w:tcBorders>
                </w:tcP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项目衔接公示</w:t>
                  </w:r>
                </w:p>
              </w:tc>
            </w:tr>
            <w:tr>
              <w:tc>
                <w:tcPr>
                  <w:tcW w:type="dxa" w:w="524"/>
                  <w:vMerge/>
                  <w:tcBorders>
                    <w:top w:val="none" w:color="000000" w:sz="4"/>
                    <w:left w:val="single" w:color="000000" w:sz="4"/>
                    <w:bottom w:val="single" w:color="000000" w:sz="4"/>
                    <w:right w:val="single" w:color="000000" w:sz="4"/>
                  </w:tcBorders>
                </w:tcPr>
                <w:p/>
              </w:tc>
              <w:tc>
                <w:tcPr>
                  <w:tcW w:type="dxa" w:w="1015"/>
                  <w:vMerge/>
                  <w:tcBorders>
                    <w:top w:val="none" w:color="000000" w:sz="4"/>
                    <w:left w:val="none" w:color="000000" w:sz="4"/>
                    <w:bottom w:val="single" w:color="000000" w:sz="4"/>
                    <w:right w:val="single" w:color="000000" w:sz="4"/>
                  </w:tcBorders>
                </w:tcP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项目衔接变更公示</w:t>
                  </w:r>
                </w:p>
              </w:tc>
            </w:tr>
            <w:tr>
              <w:tc>
                <w:tcPr>
                  <w:tcW w:type="dxa" w:w="524"/>
                  <w:vMerge/>
                  <w:tcBorders>
                    <w:top w:val="none" w:color="000000" w:sz="4"/>
                    <w:left w:val="single" w:color="000000" w:sz="4"/>
                    <w:bottom w:val="single" w:color="000000" w:sz="4"/>
                    <w:right w:val="single" w:color="000000" w:sz="4"/>
                  </w:tcBorders>
                </w:tcPr>
                <w:p/>
              </w:tc>
              <w:tc>
                <w:tcPr>
                  <w:tcW w:type="dxa" w:w="1015"/>
                  <w:vMerge/>
                  <w:tcBorders>
                    <w:top w:val="none" w:color="000000" w:sz="4"/>
                    <w:left w:val="none" w:color="000000" w:sz="4"/>
                    <w:bottom w:val="single" w:color="000000" w:sz="4"/>
                    <w:right w:val="single" w:color="000000" w:sz="4"/>
                  </w:tcBorders>
                </w:tcP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测绘企业信用公示</w:t>
                  </w:r>
                </w:p>
              </w:tc>
            </w:tr>
            <w:tr>
              <w:tc>
                <w:tcPr>
                  <w:tcW w:type="dxa" w:w="524"/>
                  <w:vMerge/>
                  <w:tcBorders>
                    <w:top w:val="none" w:color="000000" w:sz="4"/>
                    <w:left w:val="single" w:color="000000" w:sz="4"/>
                    <w:bottom w:val="single" w:color="000000" w:sz="4"/>
                    <w:right w:val="single" w:color="000000" w:sz="4"/>
                  </w:tcBorders>
                </w:tcPr>
                <w:p/>
              </w:tc>
              <w:tc>
                <w:tcPr>
                  <w:tcW w:type="dxa" w:w="1015"/>
                  <w:vMerge/>
                  <w:tcBorders>
                    <w:top w:val="none" w:color="000000" w:sz="4"/>
                    <w:left w:val="none" w:color="000000" w:sz="4"/>
                    <w:bottom w:val="single" w:color="000000" w:sz="4"/>
                    <w:right w:val="single" w:color="000000" w:sz="4"/>
                  </w:tcBorders>
                </w:tcP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通知公告</w:t>
                  </w:r>
                </w:p>
              </w:tc>
            </w:tr>
            <w:tr>
              <w:tc>
                <w:tcPr>
                  <w:tcW w:type="dxa" w:w="524"/>
                  <w:vMerge/>
                  <w:tcBorders>
                    <w:top w:val="none" w:color="000000" w:sz="4"/>
                    <w:left w:val="single" w:color="000000" w:sz="4"/>
                    <w:bottom w:val="single" w:color="000000" w:sz="4"/>
                    <w:right w:val="single" w:color="000000" w:sz="4"/>
                  </w:tcBorders>
                </w:tcP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资源列表</w:t>
                  </w: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资源下载</w:t>
                  </w:r>
                </w:p>
              </w:tc>
            </w:tr>
          </w:tbl>
          <w:p>
            <w:pPr>
              <w:pStyle w:val="null3"/>
              <w:jc w:val="both"/>
              <w:outlineLvl w:val="2"/>
            </w:pPr>
            <w:r>
              <w:rPr>
                <w:rFonts w:ascii="仿宋_GB2312" w:hAnsi="仿宋_GB2312" w:cs="仿宋_GB2312" w:eastAsia="仿宋_GB2312"/>
                <w:sz w:val="28"/>
                <w:b/>
              </w:rPr>
              <w:t>3、</w:t>
            </w:r>
            <w:r>
              <w:rPr>
                <w:rFonts w:ascii="仿宋_GB2312" w:hAnsi="仿宋_GB2312" w:cs="仿宋_GB2312" w:eastAsia="仿宋_GB2312"/>
                <w:sz w:val="28"/>
                <w:b/>
              </w:rPr>
              <w:t>不动产</w:t>
            </w:r>
            <w:r>
              <w:rPr>
                <w:rFonts w:ascii="仿宋_GB2312" w:hAnsi="仿宋_GB2312" w:cs="仿宋_GB2312" w:eastAsia="仿宋_GB2312"/>
                <w:sz w:val="28"/>
                <w:b/>
              </w:rPr>
              <w:t>权籍调查业务服务系统（管理端</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rPr>
              <w:t>（1）系统介绍</w:t>
            </w:r>
          </w:p>
          <w:p>
            <w:pPr>
              <w:pStyle w:val="null3"/>
              <w:ind w:firstLine="480"/>
              <w:jc w:val="both"/>
            </w:pPr>
            <w:r>
              <w:rPr>
                <w:rFonts w:ascii="仿宋_GB2312" w:hAnsi="仿宋_GB2312" w:cs="仿宋_GB2312" w:eastAsia="仿宋_GB2312"/>
              </w:rPr>
              <w:t>不动产权籍调查业务服务系统（管理端)主要</w:t>
            </w:r>
            <w:r>
              <w:rPr>
                <w:rFonts w:ascii="仿宋_GB2312" w:hAnsi="仿宋_GB2312" w:cs="仿宋_GB2312" w:eastAsia="仿宋_GB2312"/>
              </w:rPr>
              <w:t>对不动产权调成果进行备案、审核及入库管理，对不动产权调成果档案进行统一管理，系统主要功能包括：宗地测量成果、房产测量成果的编码与分发管理；不动产权调成果的备案、入库、变更审核；不动产权调成果档案的统一管理；电子测绘成果、电子测绘成果档案和实物成果档案的自动关联挂接；不动产权调成果 GIS 一张图展示、查询、编辑管理；不动产权调企业名录库管理，包括开发企业名录管理和测绘企业名录管理；不动产权调成果数据与不动产登记、房产交易等相关部门的共享对接。</w:t>
            </w:r>
          </w:p>
          <w:p>
            <w:pPr>
              <w:pStyle w:val="null3"/>
              <w:ind w:firstLine="480"/>
              <w:jc w:val="both"/>
            </w:pPr>
            <w:r>
              <w:rPr>
                <w:rFonts w:ascii="仿宋_GB2312" w:hAnsi="仿宋_GB2312" w:cs="仿宋_GB2312" w:eastAsia="仿宋_GB2312"/>
              </w:rPr>
              <w:t>（2）相关子系统及系统功能模块列表</w:t>
            </w:r>
          </w:p>
          <w:p>
            <w:pPr>
              <w:pStyle w:val="null3"/>
              <w:ind w:firstLine="480"/>
              <w:jc w:val="both"/>
            </w:pPr>
            <w:r>
              <w:rPr>
                <w:rFonts w:ascii="仿宋_GB2312" w:hAnsi="仿宋_GB2312" w:cs="仿宋_GB2312" w:eastAsia="仿宋_GB2312"/>
              </w:rPr>
              <w:t>本次交易管理相关业务系统运行维护的子系统及具体功能模块如下表：</w:t>
            </w:r>
          </w:p>
          <w:tbl>
            <w:tblPr>
              <w:tblBorders>
                <w:top w:val="none" w:color="000000" w:sz="4"/>
                <w:left w:val="none" w:color="000000" w:sz="4"/>
                <w:bottom w:val="none" w:color="000000" w:sz="4"/>
                <w:right w:val="none" w:color="000000" w:sz="4"/>
                <w:insideH w:val="none"/>
                <w:insideV w:val="none"/>
              </w:tblBorders>
            </w:tblPr>
            <w:tblGrid>
              <w:gridCol w:w="656"/>
              <w:gridCol w:w="656"/>
              <w:gridCol w:w="1241"/>
            </w:tblGrid>
            <w:tr>
              <w:tc>
                <w:tcPr>
                  <w:tcW w:type="dxa" w:w="656"/>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子系统名称</w:t>
                  </w:r>
                </w:p>
              </w:tc>
              <w:tc>
                <w:tcPr>
                  <w:tcW w:type="dxa" w:w="656"/>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模块</w:t>
                  </w:r>
                </w:p>
              </w:tc>
              <w:tc>
                <w:tcPr>
                  <w:tcW w:type="dxa" w:w="1241"/>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功能菜单</w:t>
                  </w:r>
                </w:p>
              </w:tc>
            </w:tr>
            <w:tr>
              <w:tc>
                <w:tcPr>
                  <w:tcW w:type="dxa" w:w="6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管理端(政务内网)</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首页</w:t>
                  </w: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56"/>
                  <w:vMerge/>
                  <w:tcBorders>
                    <w:top w:val="none" w:color="000000" w:sz="4"/>
                    <w:left w:val="single" w:color="000000" w:sz="4"/>
                    <w:bottom w:val="single" w:color="000000" w:sz="4"/>
                    <w:right w:val="single" w:color="000000" w:sz="4"/>
                  </w:tcBorders>
                </w:tcPr>
                <w:p/>
              </w:tc>
              <w:tc>
                <w:tcPr>
                  <w:tcW w:type="dxa" w:w="6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用户管理</w:t>
                  </w: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用户列表</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角色管理</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岗位管理</w:t>
                  </w:r>
                </w:p>
              </w:tc>
            </w:tr>
            <w:tr>
              <w:tc>
                <w:tcPr>
                  <w:tcW w:type="dxa" w:w="656"/>
                  <w:vMerge/>
                  <w:tcBorders>
                    <w:top w:val="none" w:color="000000" w:sz="4"/>
                    <w:left w:val="single" w:color="000000" w:sz="4"/>
                    <w:bottom w:val="single" w:color="000000" w:sz="4"/>
                    <w:right w:val="single" w:color="000000" w:sz="4"/>
                  </w:tcBorders>
                </w:tcPr>
                <w:p/>
              </w:tc>
              <w:tc>
                <w:tcPr>
                  <w:tcW w:type="dxa" w:w="6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项目衔接</w:t>
                  </w: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宗地项目衔接申请</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房产项目衔接申请</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农林水项目衔接申请</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编码变更管理</w:t>
                  </w:r>
                </w:p>
              </w:tc>
            </w:tr>
            <w:tr>
              <w:tc>
                <w:tcPr>
                  <w:tcW w:type="dxa" w:w="656"/>
                  <w:vMerge/>
                  <w:tcBorders>
                    <w:top w:val="none" w:color="000000" w:sz="4"/>
                    <w:left w:val="single" w:color="000000" w:sz="4"/>
                    <w:bottom w:val="single" w:color="000000" w:sz="4"/>
                    <w:right w:val="single" w:color="000000" w:sz="4"/>
                  </w:tcBorders>
                </w:tcPr>
                <w:p/>
              </w:tc>
              <w:tc>
                <w:tcPr>
                  <w:tcW w:type="dxa" w:w="6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成果审核管理</w:t>
                  </w:r>
                </w:p>
              </w:tc>
              <w:tc>
                <w:tcPr>
                  <w:tcW w:type="dxa" w:w="124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宗地成果审核管理</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农林水成果审核</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农林水成果审核（2000坐标系统）</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房产成果审核管理</w:t>
                  </w:r>
                </w:p>
              </w:tc>
            </w:tr>
            <w:tr>
              <w:tc>
                <w:tcPr>
                  <w:tcW w:type="dxa" w:w="656"/>
                  <w:vMerge/>
                  <w:tcBorders>
                    <w:top w:val="none" w:color="000000" w:sz="4"/>
                    <w:left w:val="single" w:color="000000" w:sz="4"/>
                    <w:bottom w:val="single" w:color="000000" w:sz="4"/>
                    <w:right w:val="single" w:color="000000" w:sz="4"/>
                  </w:tcBorders>
                </w:tcPr>
                <w:p/>
              </w:tc>
              <w:tc>
                <w:tcPr>
                  <w:tcW w:type="dxa" w:w="6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成果管理</w:t>
                  </w: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宗地成果管理</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房产成果管理</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农村产权一张图</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不动产一张图</w:t>
                  </w:r>
                </w:p>
              </w:tc>
            </w:tr>
            <w:tr>
              <w:tc>
                <w:tcPr>
                  <w:tcW w:type="dxa" w:w="656"/>
                  <w:vMerge/>
                  <w:tcBorders>
                    <w:top w:val="none" w:color="000000" w:sz="4"/>
                    <w:left w:val="single" w:color="000000" w:sz="4"/>
                    <w:bottom w:val="single" w:color="000000" w:sz="4"/>
                    <w:right w:val="single" w:color="000000" w:sz="4"/>
                  </w:tcBorders>
                </w:tcPr>
                <w:p/>
              </w:tc>
              <w:tc>
                <w:tcPr>
                  <w:tcW w:type="dxa" w:w="6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不动产单元表管理</w:t>
                  </w: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房产单元表创建</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房产单元表维护</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宗地单元表维护</w:t>
                  </w:r>
                </w:p>
              </w:tc>
            </w:tr>
            <w:tr>
              <w:tc>
                <w:tcPr>
                  <w:tcW w:type="dxa" w:w="656"/>
                  <w:vMerge/>
                  <w:tcBorders>
                    <w:top w:val="none" w:color="000000" w:sz="4"/>
                    <w:left w:val="single" w:color="000000" w:sz="4"/>
                    <w:bottom w:val="single" w:color="000000" w:sz="4"/>
                    <w:right w:val="single" w:color="000000" w:sz="4"/>
                  </w:tcBorders>
                </w:tcPr>
                <w:p/>
              </w:tc>
              <w:tc>
                <w:tcPr>
                  <w:tcW w:type="dxa" w:w="6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档案管理</w:t>
                  </w: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宗地档案入库管理</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房产档案入库管理</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宗地档案查询</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房产档案查询</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档案存储管理</w:t>
                  </w:r>
                </w:p>
              </w:tc>
            </w:tr>
            <w:tr>
              <w:tc>
                <w:tcPr>
                  <w:tcW w:type="dxa" w:w="656"/>
                  <w:vMerge/>
                  <w:tcBorders>
                    <w:top w:val="none" w:color="000000" w:sz="4"/>
                    <w:left w:val="single" w:color="000000" w:sz="4"/>
                    <w:bottom w:val="single" w:color="000000" w:sz="4"/>
                    <w:right w:val="single" w:color="000000" w:sz="4"/>
                  </w:tcBorders>
                </w:tcPr>
                <w:p/>
              </w:tc>
              <w:tc>
                <w:tcPr>
                  <w:tcW w:type="dxa" w:w="6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项目管理</w:t>
                  </w: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宗地项目查询</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房产项目查询</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案件进度查询</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锁件审批</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锁件解锁</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宗地衔接改派</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房产衔接改派</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宗地成果改派</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房产成果改派</w:t>
                  </w:r>
                </w:p>
              </w:tc>
            </w:tr>
            <w:tr>
              <w:tc>
                <w:tcPr>
                  <w:tcW w:type="dxa" w:w="656"/>
                  <w:vMerge/>
                  <w:tcBorders>
                    <w:top w:val="none" w:color="000000" w:sz="4"/>
                    <w:left w:val="single" w:color="000000" w:sz="4"/>
                    <w:bottom w:val="single" w:color="000000" w:sz="4"/>
                    <w:right w:val="single" w:color="000000" w:sz="4"/>
                  </w:tcBorders>
                </w:tcPr>
                <w:p/>
              </w:tc>
              <w:tc>
                <w:tcPr>
                  <w:tcW w:type="dxa" w:w="6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数据维护管理</w:t>
                  </w: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宗地数据维护管理</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农林水数据维护管理</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房产数据维护管理</w:t>
                  </w:r>
                </w:p>
              </w:tc>
            </w:tr>
            <w:tr>
              <w:tc>
                <w:tcPr>
                  <w:tcW w:type="dxa" w:w="656"/>
                  <w:vMerge/>
                  <w:tcBorders>
                    <w:top w:val="none" w:color="000000" w:sz="4"/>
                    <w:left w:val="single" w:color="000000" w:sz="4"/>
                    <w:bottom w:val="single" w:color="000000" w:sz="4"/>
                    <w:right w:val="single" w:color="000000" w:sz="4"/>
                  </w:tcBorders>
                </w:tcPr>
                <w:p/>
              </w:tc>
              <w:tc>
                <w:tcPr>
                  <w:tcW w:type="dxa" w:w="6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统计查询</w:t>
                  </w: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房产成果审核统计</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权证配图统计</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权证配图维护</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不动产单元表创建统计</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宗地成果审核统计</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不动产单元表维护统计</w:t>
                  </w:r>
                </w:p>
              </w:tc>
            </w:tr>
            <w:tr>
              <w:tc>
                <w:tcPr>
                  <w:tcW w:type="dxa" w:w="656"/>
                  <w:vMerge/>
                  <w:tcBorders>
                    <w:top w:val="none" w:color="000000" w:sz="4"/>
                    <w:left w:val="single" w:color="000000" w:sz="4"/>
                    <w:bottom w:val="single" w:color="000000" w:sz="4"/>
                    <w:right w:val="single" w:color="000000" w:sz="4"/>
                  </w:tcBorders>
                </w:tcPr>
                <w:p/>
              </w:tc>
              <w:tc>
                <w:tcPr>
                  <w:tcW w:type="dxa" w:w="6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诚信体系管理</w:t>
                  </w: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宗地成果积分考核</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房产成果积分考核</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宗地成果质量评定</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房产成果质量评定</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信用等级</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黑名单</w:t>
                  </w:r>
                </w:p>
              </w:tc>
            </w:tr>
            <w:tr>
              <w:tc>
                <w:tcPr>
                  <w:tcW w:type="dxa" w:w="656"/>
                  <w:vMerge/>
                  <w:tcBorders>
                    <w:top w:val="none" w:color="000000" w:sz="4"/>
                    <w:left w:val="single" w:color="000000" w:sz="4"/>
                    <w:bottom w:val="single" w:color="000000" w:sz="4"/>
                    <w:right w:val="single" w:color="000000" w:sz="4"/>
                  </w:tcBorders>
                </w:tcPr>
                <w:p/>
              </w:tc>
              <w:tc>
                <w:tcPr>
                  <w:tcW w:type="dxa" w:w="6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接口管理</w:t>
                  </w: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接口日志查询</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接口访问统计</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接口异常处理</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接口访问权限</w:t>
                  </w:r>
                </w:p>
              </w:tc>
            </w:tr>
            <w:tr>
              <w:tc>
                <w:tcPr>
                  <w:tcW w:type="dxa" w:w="656"/>
                  <w:vMerge/>
                  <w:tcBorders>
                    <w:top w:val="none" w:color="000000" w:sz="4"/>
                    <w:left w:val="single" w:color="000000" w:sz="4"/>
                    <w:bottom w:val="single" w:color="000000" w:sz="4"/>
                    <w:right w:val="single" w:color="000000" w:sz="4"/>
                  </w:tcBorders>
                </w:tcPr>
                <w:p/>
              </w:tc>
              <w:tc>
                <w:tcPr>
                  <w:tcW w:type="dxa" w:w="6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用户权限管理</w:t>
                  </w: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权限申请</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科长审核</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主任审批</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用户办理</w:t>
                  </w:r>
                </w:p>
              </w:tc>
            </w:tr>
            <w:tr>
              <w:tc>
                <w:tcPr>
                  <w:tcW w:type="dxa" w:w="656"/>
                  <w:vMerge/>
                  <w:tcBorders>
                    <w:top w:val="none" w:color="000000" w:sz="4"/>
                    <w:left w:val="single" w:color="000000" w:sz="4"/>
                    <w:bottom w:val="single" w:color="000000" w:sz="4"/>
                    <w:right w:val="single" w:color="000000" w:sz="4"/>
                  </w:tcBorders>
                </w:tcPr>
                <w:p/>
              </w:tc>
              <w:tc>
                <w:tcPr>
                  <w:tcW w:type="dxa" w:w="6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策略管理</w:t>
                  </w: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行事历</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质量</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扣分</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宗地首次</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宗地变更</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宗地分割</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宗地合并</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房产实测</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房产预测</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房产实测变更</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房产预测变更</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房产编码变更</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企业注册</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从业人员注册</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宗地工时分件</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房产工时分件</w:t>
                  </w:r>
                </w:p>
              </w:tc>
            </w:tr>
            <w:tr>
              <w:tc>
                <w:tcPr>
                  <w:tcW w:type="dxa" w:w="656"/>
                  <w:vMerge/>
                  <w:tcBorders>
                    <w:top w:val="none" w:color="000000" w:sz="4"/>
                    <w:left w:val="single" w:color="000000" w:sz="4"/>
                    <w:bottom w:val="single" w:color="000000" w:sz="4"/>
                    <w:right w:val="single" w:color="000000" w:sz="4"/>
                  </w:tcBorders>
                </w:tcPr>
                <w:p/>
              </w:tc>
              <w:tc>
                <w:tcPr>
                  <w:tcW w:type="dxa" w:w="6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业务衔接管理</w:t>
                  </w: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业务受理</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录入信息校核</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领导确认</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开户</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业务受理</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变更信息校核</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机构信息更新</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测绘企业名录库</w:t>
                  </w:r>
                </w:p>
              </w:tc>
            </w:tr>
            <w:tr>
              <w:tc>
                <w:tcPr>
                  <w:tcW w:type="dxa" w:w="656"/>
                  <w:vMerge/>
                  <w:tcBorders>
                    <w:top w:val="none" w:color="000000" w:sz="4"/>
                    <w:left w:val="single" w:color="000000" w:sz="4"/>
                    <w:bottom w:val="single" w:color="000000" w:sz="4"/>
                    <w:right w:val="single" w:color="000000" w:sz="4"/>
                  </w:tcBorders>
                </w:tcPr>
                <w:p/>
              </w:tc>
              <w:tc>
                <w:tcPr>
                  <w:tcW w:type="dxa" w:w="6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公示公告</w:t>
                  </w: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通知公告</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资源下载中心</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宗地项目衔接公示</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房产项目衔接公示</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业务衔接机构公示</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项目衔接变更公示</w:t>
                  </w:r>
                </w:p>
              </w:tc>
            </w:tr>
            <w:tr>
              <w:tc>
                <w:tcPr>
                  <w:tcW w:type="dxa" w:w="656"/>
                  <w:vMerge/>
                  <w:tcBorders>
                    <w:top w:val="none" w:color="000000" w:sz="4"/>
                    <w:left w:val="single" w:color="000000" w:sz="4"/>
                    <w:bottom w:val="single" w:color="000000" w:sz="4"/>
                    <w:right w:val="single" w:color="000000" w:sz="4"/>
                  </w:tcBorders>
                </w:tcPr>
                <w:p/>
              </w:tc>
              <w:tc>
                <w:tcPr>
                  <w:tcW w:type="dxa" w:w="6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数据导出</w:t>
                  </w: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宗地数据导出</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房产数据导出</w:t>
                  </w:r>
                </w:p>
              </w:tc>
            </w:tr>
            <w:tr>
              <w:tc>
                <w:tcPr>
                  <w:tcW w:type="dxa" w:w="656"/>
                  <w:vMerge/>
                  <w:tcBorders>
                    <w:top w:val="none" w:color="000000" w:sz="4"/>
                    <w:left w:val="single" w:color="000000" w:sz="4"/>
                    <w:bottom w:val="single" w:color="000000" w:sz="4"/>
                    <w:right w:val="single" w:color="000000" w:sz="4"/>
                  </w:tcBorders>
                </w:tcPr>
                <w:p/>
              </w:tc>
              <w:tc>
                <w:tcPr>
                  <w:tcW w:type="dxa" w:w="6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解除图幅锁定</w:t>
                  </w: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图幅解锁</w:t>
                  </w:r>
                </w:p>
              </w:tc>
            </w:tr>
            <w:tr>
              <w:tc>
                <w:tcPr>
                  <w:tcW w:type="dxa" w:w="656"/>
                  <w:vMerge/>
                  <w:tcBorders>
                    <w:top w:val="none" w:color="000000" w:sz="4"/>
                    <w:left w:val="singl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行政区解锁</w:t>
                  </w:r>
                </w:p>
              </w:tc>
            </w:tr>
          </w:tbl>
          <w:p>
            <w:pPr>
              <w:pStyle w:val="null3"/>
              <w:jc w:val="both"/>
              <w:outlineLvl w:val="2"/>
            </w:pPr>
            <w:r>
              <w:rPr>
                <w:rFonts w:ascii="仿宋_GB2312" w:hAnsi="仿宋_GB2312" w:cs="仿宋_GB2312" w:eastAsia="仿宋_GB2312"/>
                <w:sz w:val="28"/>
                <w:b/>
              </w:rPr>
              <w:t>4、土地审图软件</w:t>
            </w:r>
          </w:p>
          <w:p>
            <w:pPr>
              <w:pStyle w:val="null3"/>
              <w:ind w:firstLine="480"/>
              <w:jc w:val="both"/>
            </w:pPr>
            <w:r>
              <w:rPr>
                <w:rFonts w:ascii="仿宋_GB2312" w:hAnsi="仿宋_GB2312" w:cs="仿宋_GB2312" w:eastAsia="仿宋_GB2312"/>
              </w:rPr>
              <w:t>（1）系统介绍</w:t>
            </w:r>
          </w:p>
          <w:p>
            <w:pPr>
              <w:pStyle w:val="null3"/>
              <w:ind w:firstLine="480"/>
              <w:jc w:val="both"/>
            </w:pPr>
            <w:r>
              <w:rPr>
                <w:rFonts w:ascii="仿宋_GB2312" w:hAnsi="仿宋_GB2312" w:cs="仿宋_GB2312" w:eastAsia="仿宋_GB2312"/>
              </w:rPr>
              <w:t>权调土地审图软件满足权调土地成果图形及报告的审核、复检需求，该软件与权调成果管理系统实现相互调用和数据的无缝融合。软件基于 GIS 平台，主要功能包括：实现宗地成果、定着物的拓扑检查；实现楼幢落宗，宗地、楼幢不动产单元编码、不动产单元号的重复性校验功能；实现房产分户图成果的兼容，可通过坐标复制及粘贴功能，确保房产分户图中的楼位示意图可正常更新维护权调成果 GIS 管理一张图；实现带基点复制、粘贴到原坐标、下载、上传、灭失相关功能，确保宗地、房屋数据可正常更新维护权调成果 GIS 管理一张图；实现不动产权籍调查报告、界址点成果表的自动生成、打印和导出，实现不动产权证配图。</w:t>
            </w:r>
          </w:p>
          <w:p>
            <w:pPr>
              <w:pStyle w:val="null3"/>
              <w:ind w:firstLine="480"/>
              <w:jc w:val="both"/>
            </w:pPr>
            <w:r>
              <w:rPr>
                <w:rFonts w:ascii="仿宋_GB2312" w:hAnsi="仿宋_GB2312" w:cs="仿宋_GB2312" w:eastAsia="仿宋_GB2312"/>
              </w:rPr>
              <w:t>（2）相关子系统及系统功能模块列表</w:t>
            </w:r>
          </w:p>
          <w:p>
            <w:pPr>
              <w:pStyle w:val="null3"/>
              <w:ind w:firstLine="480"/>
              <w:jc w:val="both"/>
            </w:pPr>
            <w:r>
              <w:rPr>
                <w:rFonts w:ascii="仿宋_GB2312" w:hAnsi="仿宋_GB2312" w:cs="仿宋_GB2312" w:eastAsia="仿宋_GB2312"/>
              </w:rPr>
              <w:t>本次交易管理相关业务系统运行维护的子系统及具体功能模块如下表：</w:t>
            </w:r>
          </w:p>
          <w:tbl>
            <w:tblPr>
              <w:tblBorders>
                <w:top w:val="none" w:color="000000" w:sz="4"/>
                <w:left w:val="none" w:color="000000" w:sz="4"/>
                <w:bottom w:val="none" w:color="000000" w:sz="4"/>
                <w:right w:val="none" w:color="000000" w:sz="4"/>
                <w:insideH w:val="none"/>
                <w:insideV w:val="none"/>
              </w:tblBorders>
            </w:tblPr>
            <w:tblGrid>
              <w:gridCol w:w="893"/>
              <w:gridCol w:w="348"/>
              <w:gridCol w:w="1312"/>
            </w:tblGrid>
            <w:tr>
              <w:tc>
                <w:tcPr>
                  <w:tcW w:type="dxa" w:w="893"/>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子系统名称</w:t>
                  </w:r>
                </w:p>
              </w:tc>
              <w:tc>
                <w:tcPr>
                  <w:tcW w:type="dxa" w:w="348"/>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模块</w:t>
                  </w:r>
                </w:p>
              </w:tc>
              <w:tc>
                <w:tcPr>
                  <w:tcW w:type="dxa" w:w="1312"/>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功能菜单</w:t>
                  </w:r>
                </w:p>
              </w:tc>
            </w:tr>
            <w:tr>
              <w:tc>
                <w:tcPr>
                  <w:tcW w:type="dxa" w:w="8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土地审图软件</w:t>
                  </w:r>
                </w:p>
              </w:tc>
              <w:tc>
                <w:tcPr>
                  <w:tcW w:type="dxa" w:w="3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文件</w:t>
                  </w: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新建</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打开</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保存</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另存</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关闭</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退出</w:t>
                  </w:r>
                </w:p>
              </w:tc>
            </w:tr>
            <w:tr>
              <w:tc>
                <w:tcPr>
                  <w:tcW w:type="dxa" w:w="893"/>
                  <w:vMerge/>
                  <w:tcBorders>
                    <w:top w:val="none" w:color="000000" w:sz="4"/>
                    <w:left w:val="single" w:color="000000" w:sz="4"/>
                    <w:bottom w:val="single" w:color="000000" w:sz="4"/>
                    <w:right w:val="single" w:color="000000" w:sz="4"/>
                  </w:tcBorders>
                </w:tcPr>
                <w:p/>
              </w:tc>
              <w:tc>
                <w:tcPr>
                  <w:tcW w:type="dxa" w:w="3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编辑</w:t>
                  </w: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撤销</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恢复</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剪贴</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复制</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粘贴</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删除</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特性</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复制物体</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镜像</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偏移</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移动</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旋转</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缩放</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拉伸</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修剪</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延伸</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倒角</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圆角</w:t>
                  </w:r>
                </w:p>
              </w:tc>
            </w:tr>
            <w:tr>
              <w:tc>
                <w:tcPr>
                  <w:tcW w:type="dxa" w:w="893"/>
                  <w:vMerge/>
                  <w:tcBorders>
                    <w:top w:val="none" w:color="000000" w:sz="4"/>
                    <w:left w:val="single" w:color="000000" w:sz="4"/>
                    <w:bottom w:val="single" w:color="000000" w:sz="4"/>
                    <w:right w:val="single" w:color="000000" w:sz="4"/>
                  </w:tcBorders>
                </w:tcPr>
                <w:p/>
              </w:tc>
              <w:tc>
                <w:tcPr>
                  <w:tcW w:type="dxa" w:w="3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绘图</w:t>
                  </w: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直线</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矩形</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圆</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圆弧</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椭圆弧</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普通注记</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测量点</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宗地导入</w:t>
                  </w:r>
                </w:p>
              </w:tc>
            </w:tr>
            <w:tr>
              <w:tc>
                <w:tcPr>
                  <w:tcW w:type="dxa" w:w="893"/>
                  <w:vMerge/>
                  <w:tcBorders>
                    <w:top w:val="none" w:color="000000" w:sz="4"/>
                    <w:left w:val="single" w:color="000000" w:sz="4"/>
                    <w:bottom w:val="single" w:color="000000" w:sz="4"/>
                    <w:right w:val="single" w:color="000000" w:sz="4"/>
                  </w:tcBorders>
                </w:tcPr>
                <w:p/>
              </w:tc>
              <w:tc>
                <w:tcPr>
                  <w:tcW w:type="dxa" w:w="3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视图</w:t>
                  </w: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属性</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命令</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鸟瞰图</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放大</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缩小</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视口扩张</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视口缩小</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平移</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全图</w:t>
                  </w:r>
                </w:p>
              </w:tc>
            </w:tr>
            <w:tr>
              <w:tc>
                <w:tcPr>
                  <w:tcW w:type="dxa" w:w="893"/>
                  <w:vMerge/>
                  <w:tcBorders>
                    <w:top w:val="none" w:color="000000" w:sz="4"/>
                    <w:left w:val="single" w:color="000000" w:sz="4"/>
                    <w:bottom w:val="single" w:color="000000" w:sz="4"/>
                    <w:right w:val="single" w:color="000000" w:sz="4"/>
                  </w:tcBorders>
                </w:tcPr>
                <w:p/>
              </w:tc>
              <w:tc>
                <w:tcPr>
                  <w:tcW w:type="dxa" w:w="3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宗地</w:t>
                  </w: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绘制权界</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全局检查</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定着物生成</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宗地/定着物删除</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宗地</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定着物</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界址点</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权籍调查报告</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尺寸标注</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宗地编辑</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宗地查询</w:t>
                  </w:r>
                </w:p>
              </w:tc>
            </w:tr>
            <w:tr>
              <w:tc>
                <w:tcPr>
                  <w:tcW w:type="dxa" w:w="893"/>
                  <w:vMerge/>
                  <w:tcBorders>
                    <w:top w:val="none" w:color="000000" w:sz="4"/>
                    <w:left w:val="single" w:color="000000" w:sz="4"/>
                    <w:bottom w:val="single" w:color="000000" w:sz="4"/>
                    <w:right w:val="single" w:color="000000" w:sz="4"/>
                  </w:tcBorders>
                </w:tcPr>
                <w:p/>
              </w:tc>
              <w:tc>
                <w:tcPr>
                  <w:tcW w:type="dxa" w:w="3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成果</w:t>
                  </w: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权证配图</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不动产权籍调查报告</w:t>
                  </w:r>
                </w:p>
              </w:tc>
            </w:tr>
            <w:tr>
              <w:tc>
                <w:tcPr>
                  <w:tcW w:type="dxa" w:w="893"/>
                  <w:vMerge/>
                  <w:tcBorders>
                    <w:top w:val="none" w:color="000000" w:sz="4"/>
                    <w:left w:val="single" w:color="000000" w:sz="4"/>
                    <w:bottom w:val="single" w:color="000000" w:sz="4"/>
                    <w:right w:val="single" w:color="000000" w:sz="4"/>
                  </w:tcBorders>
                </w:tcPr>
                <w:p/>
              </w:tc>
              <w:tc>
                <w:tcPr>
                  <w:tcW w:type="dxa" w:w="3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管理</w:t>
                  </w: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图幅管理</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丘管理</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楼幢管理</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宗地管理</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数据库操作</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打印</w:t>
                  </w:r>
                </w:p>
              </w:tc>
            </w:tr>
            <w:tr>
              <w:tc>
                <w:tcPr>
                  <w:tcW w:type="dxa" w:w="893"/>
                  <w:vMerge/>
                  <w:tcBorders>
                    <w:top w:val="none" w:color="000000" w:sz="4"/>
                    <w:left w:val="single" w:color="000000" w:sz="4"/>
                    <w:bottom w:val="single" w:color="000000" w:sz="4"/>
                    <w:right w:val="single" w:color="000000" w:sz="4"/>
                  </w:tcBorders>
                </w:tcPr>
                <w:p/>
              </w:tc>
              <w:tc>
                <w:tcPr>
                  <w:tcW w:type="dxa" w:w="3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工具</w:t>
                  </w: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角度</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距离</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属性查询</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快捷键</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自定义</w:t>
                  </w:r>
                </w:p>
              </w:tc>
            </w:tr>
            <w:tr>
              <w:tc>
                <w:tcPr>
                  <w:tcW w:type="dxa" w:w="893"/>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其他</w:t>
                  </w:r>
                </w:p>
              </w:tc>
            </w:tr>
          </w:tbl>
          <w:p>
            <w:pPr>
              <w:pStyle w:val="null3"/>
              <w:ind w:firstLine="480"/>
              <w:jc w:val="both"/>
              <w:outlineLvl w:val="2"/>
            </w:pPr>
            <w:r>
              <w:rPr>
                <w:rFonts w:ascii="仿宋_GB2312" w:hAnsi="仿宋_GB2312" w:cs="仿宋_GB2312" w:eastAsia="仿宋_GB2312"/>
                <w:sz w:val="28"/>
                <w:b/>
              </w:rPr>
              <w:t>5、房产审图软件</w:t>
            </w:r>
          </w:p>
          <w:p>
            <w:pPr>
              <w:pStyle w:val="null3"/>
              <w:ind w:firstLine="480"/>
              <w:jc w:val="both"/>
            </w:pPr>
            <w:r>
              <w:rPr>
                <w:rFonts w:ascii="仿宋_GB2312" w:hAnsi="仿宋_GB2312" w:cs="仿宋_GB2312" w:eastAsia="仿宋_GB2312"/>
              </w:rPr>
              <w:t>（1）系统介绍</w:t>
            </w:r>
          </w:p>
          <w:p>
            <w:pPr>
              <w:pStyle w:val="null3"/>
              <w:ind w:firstLine="480"/>
              <w:jc w:val="both"/>
            </w:pPr>
            <w:r>
              <w:rPr>
                <w:rFonts w:ascii="仿宋_GB2312" w:hAnsi="仿宋_GB2312" w:cs="仿宋_GB2312" w:eastAsia="仿宋_GB2312"/>
              </w:rPr>
              <w:t>权调房产审图软件主要实现权调房产成果图形及报告的审核、复检，该软件与权调成果管理系统实现相互调用和数据的无缝融合。软件基于 GIS 平台，</w:t>
            </w:r>
            <w:r>
              <w:rPr>
                <w:rFonts w:ascii="仿宋_GB2312" w:hAnsi="仿宋_GB2312" w:cs="仿宋_GB2312" w:eastAsia="仿宋_GB2312"/>
              </w:rPr>
              <w:t>系统主要功能包括：</w:t>
            </w:r>
            <w:r>
              <w:rPr>
                <w:rFonts w:ascii="仿宋_GB2312" w:hAnsi="仿宋_GB2312" w:cs="仿宋_GB2312" w:eastAsia="仿宋_GB2312"/>
              </w:rPr>
              <w:t>实现图形、面域、房间号、用途、房屋面积、房屋关联关系、分摊关系自动检查，实现外墙、公用部位、分层面积自动统计功能，实现幢面积信息统计报表，实现单幢和多幢的联合审核；实现楼幢统计表、分摊计算表的自动生成、打印和导出； 实现房产分层图、房产分户图和楼位示意图的打印；实现测量成果报告的打印和导出，实现房产分层图的手动和自动打印，实现不动产权证配图批量打印；实现不动产编码的自动生成和不动产编码的自动导入，不动产权证配图能自动匹配生成的不动产单元号</w:t>
            </w:r>
            <w:r>
              <w:rPr>
                <w:rFonts w:ascii="仿宋_GB2312" w:hAnsi="仿宋_GB2312" w:cs="仿宋_GB2312" w:eastAsia="仿宋_GB2312"/>
              </w:rPr>
              <w:t>。</w:t>
            </w:r>
          </w:p>
          <w:p>
            <w:pPr>
              <w:pStyle w:val="null3"/>
              <w:ind w:firstLine="480"/>
              <w:jc w:val="both"/>
            </w:pPr>
            <w:r>
              <w:rPr>
                <w:rFonts w:ascii="仿宋_GB2312" w:hAnsi="仿宋_GB2312" w:cs="仿宋_GB2312" w:eastAsia="仿宋_GB2312"/>
              </w:rPr>
              <w:t>（2）相关子系统及系统功能模块列表</w:t>
            </w:r>
          </w:p>
          <w:p>
            <w:pPr>
              <w:pStyle w:val="null3"/>
              <w:ind w:firstLine="480"/>
              <w:jc w:val="both"/>
            </w:pPr>
            <w:r>
              <w:rPr>
                <w:rFonts w:ascii="仿宋_GB2312" w:hAnsi="仿宋_GB2312" w:cs="仿宋_GB2312" w:eastAsia="仿宋_GB2312"/>
              </w:rPr>
              <w:t>本次交易管理相关业务系统运行维护的子系统及具体功能模块如下表：</w:t>
            </w:r>
          </w:p>
          <w:tbl>
            <w:tblPr>
              <w:tblBorders>
                <w:top w:val="none" w:color="000000" w:sz="4"/>
                <w:left w:val="none" w:color="000000" w:sz="4"/>
                <w:bottom w:val="none" w:color="000000" w:sz="4"/>
                <w:right w:val="none" w:color="000000" w:sz="4"/>
                <w:insideH w:val="none"/>
                <w:insideV w:val="none"/>
              </w:tblBorders>
            </w:tblPr>
            <w:tblGrid>
              <w:gridCol w:w="1068"/>
              <w:gridCol w:w="417"/>
              <w:gridCol w:w="1068"/>
            </w:tblGrid>
            <w:tr>
              <w:tc>
                <w:tcPr>
                  <w:tcW w:type="dxa" w:w="1068"/>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子系统名称</w:t>
                  </w:r>
                </w:p>
              </w:tc>
              <w:tc>
                <w:tcPr>
                  <w:tcW w:type="dxa" w:w="417"/>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模块</w:t>
                  </w:r>
                </w:p>
              </w:tc>
              <w:tc>
                <w:tcPr>
                  <w:tcW w:type="dxa" w:w="1068"/>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功能菜单</w:t>
                  </w:r>
                </w:p>
              </w:tc>
            </w:tr>
            <w:tr>
              <w:tc>
                <w:tcPr>
                  <w:tcW w:type="dxa" w:w="10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房产审图软件</w:t>
                  </w:r>
                </w:p>
              </w:tc>
              <w:tc>
                <w:tcPr>
                  <w:tcW w:type="dxa" w:w="4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文件</w:t>
                  </w: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新建</w:t>
                  </w:r>
                </w:p>
              </w:tc>
            </w:tr>
            <w:tr>
              <w:tc>
                <w:tcPr>
                  <w:tcW w:type="dxa" w:w="1068"/>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打开</w:t>
                  </w:r>
                </w:p>
              </w:tc>
            </w:tr>
            <w:tr>
              <w:tc>
                <w:tcPr>
                  <w:tcW w:type="dxa" w:w="1068"/>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保存</w:t>
                  </w:r>
                </w:p>
              </w:tc>
            </w:tr>
            <w:tr>
              <w:tc>
                <w:tcPr>
                  <w:tcW w:type="dxa" w:w="1068"/>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另存</w:t>
                  </w:r>
                </w:p>
              </w:tc>
            </w:tr>
            <w:tr>
              <w:tc>
                <w:tcPr>
                  <w:tcW w:type="dxa" w:w="1068"/>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关闭</w:t>
                  </w:r>
                </w:p>
              </w:tc>
            </w:tr>
            <w:tr>
              <w:tc>
                <w:tcPr>
                  <w:tcW w:type="dxa" w:w="1068"/>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导出</w:t>
                  </w:r>
                </w:p>
              </w:tc>
            </w:tr>
            <w:tr>
              <w:tc>
                <w:tcPr>
                  <w:tcW w:type="dxa" w:w="1068"/>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退出</w:t>
                  </w:r>
                </w:p>
              </w:tc>
            </w:tr>
            <w:tr>
              <w:tc>
                <w:tcPr>
                  <w:tcW w:type="dxa" w:w="1068"/>
                  <w:vMerge/>
                  <w:tcBorders>
                    <w:top w:val="none" w:color="000000" w:sz="4"/>
                    <w:left w:val="single" w:color="000000" w:sz="4"/>
                    <w:bottom w:val="single" w:color="000000" w:sz="4"/>
                    <w:right w:val="single" w:color="000000" w:sz="4"/>
                  </w:tcBorders>
                </w:tcPr>
                <w:p/>
              </w:tc>
              <w:tc>
                <w:tcPr>
                  <w:tcW w:type="dxa" w:w="4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视图</w:t>
                  </w: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属性</w:t>
                  </w:r>
                </w:p>
              </w:tc>
            </w:tr>
            <w:tr>
              <w:tc>
                <w:tcPr>
                  <w:tcW w:type="dxa" w:w="1068"/>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命令</w:t>
                  </w:r>
                </w:p>
              </w:tc>
            </w:tr>
            <w:tr>
              <w:tc>
                <w:tcPr>
                  <w:tcW w:type="dxa" w:w="1068"/>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鸟瞰图</w:t>
                  </w:r>
                </w:p>
              </w:tc>
            </w:tr>
            <w:tr>
              <w:tc>
                <w:tcPr>
                  <w:tcW w:type="dxa" w:w="1068"/>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放大</w:t>
                  </w:r>
                </w:p>
              </w:tc>
            </w:tr>
            <w:tr>
              <w:tc>
                <w:tcPr>
                  <w:tcW w:type="dxa" w:w="1068"/>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缩小</w:t>
                  </w:r>
                </w:p>
              </w:tc>
            </w:tr>
            <w:tr>
              <w:tc>
                <w:tcPr>
                  <w:tcW w:type="dxa" w:w="1068"/>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视口扩张</w:t>
                  </w:r>
                </w:p>
              </w:tc>
            </w:tr>
            <w:tr>
              <w:tc>
                <w:tcPr>
                  <w:tcW w:type="dxa" w:w="1068"/>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视口缩小</w:t>
                  </w:r>
                </w:p>
              </w:tc>
            </w:tr>
            <w:tr>
              <w:tc>
                <w:tcPr>
                  <w:tcW w:type="dxa" w:w="1068"/>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平移</w:t>
                  </w:r>
                </w:p>
              </w:tc>
            </w:tr>
            <w:tr>
              <w:tc>
                <w:tcPr>
                  <w:tcW w:type="dxa" w:w="1068"/>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全图</w:t>
                  </w:r>
                </w:p>
              </w:tc>
            </w:tr>
            <w:tr>
              <w:tc>
                <w:tcPr>
                  <w:tcW w:type="dxa" w:w="1068"/>
                  <w:vMerge/>
                  <w:tcBorders>
                    <w:top w:val="none" w:color="000000" w:sz="4"/>
                    <w:left w:val="single" w:color="000000" w:sz="4"/>
                    <w:bottom w:val="single" w:color="000000" w:sz="4"/>
                    <w:right w:val="single" w:color="000000" w:sz="4"/>
                  </w:tcBorders>
                </w:tcPr>
                <w:p/>
              </w:tc>
              <w:tc>
                <w:tcPr>
                  <w:tcW w:type="dxa" w:w="4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质检</w:t>
                  </w: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墙线</w:t>
                  </w:r>
                </w:p>
              </w:tc>
            </w:tr>
            <w:tr>
              <w:tc>
                <w:tcPr>
                  <w:tcW w:type="dxa" w:w="1068"/>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面域</w:t>
                  </w:r>
                </w:p>
              </w:tc>
            </w:tr>
            <w:tr>
              <w:tc>
                <w:tcPr>
                  <w:tcW w:type="dxa" w:w="1068"/>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全局</w:t>
                  </w:r>
                </w:p>
              </w:tc>
            </w:tr>
            <w:tr>
              <w:tc>
                <w:tcPr>
                  <w:tcW w:type="dxa" w:w="1068"/>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阳台</w:t>
                  </w:r>
                </w:p>
              </w:tc>
            </w:tr>
            <w:tr>
              <w:tc>
                <w:tcPr>
                  <w:tcW w:type="dxa" w:w="1068"/>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户室</w:t>
                  </w:r>
                </w:p>
              </w:tc>
            </w:tr>
            <w:tr>
              <w:tc>
                <w:tcPr>
                  <w:tcW w:type="dxa" w:w="1068"/>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分摊</w:t>
                  </w:r>
                </w:p>
              </w:tc>
            </w:tr>
            <w:tr>
              <w:tc>
                <w:tcPr>
                  <w:tcW w:type="dxa" w:w="1068"/>
                  <w:vMerge/>
                  <w:tcBorders>
                    <w:top w:val="none" w:color="000000" w:sz="4"/>
                    <w:left w:val="single" w:color="000000" w:sz="4"/>
                    <w:bottom w:val="single" w:color="000000" w:sz="4"/>
                    <w:right w:val="single" w:color="000000" w:sz="4"/>
                  </w:tcBorders>
                </w:tcPr>
                <w:p/>
              </w:tc>
              <w:tc>
                <w:tcPr>
                  <w:tcW w:type="dxa" w:w="4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统计</w:t>
                  </w: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外墙</w:t>
                  </w:r>
                </w:p>
              </w:tc>
            </w:tr>
            <w:tr>
              <w:tc>
                <w:tcPr>
                  <w:tcW w:type="dxa" w:w="1068"/>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公用</w:t>
                  </w:r>
                </w:p>
              </w:tc>
            </w:tr>
            <w:tr>
              <w:tc>
                <w:tcPr>
                  <w:tcW w:type="dxa" w:w="1068"/>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分层</w:t>
                  </w:r>
                </w:p>
              </w:tc>
            </w:tr>
            <w:tr>
              <w:tc>
                <w:tcPr>
                  <w:tcW w:type="dxa" w:w="1068"/>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户数</w:t>
                  </w:r>
                </w:p>
              </w:tc>
            </w:tr>
            <w:tr>
              <w:tc>
                <w:tcPr>
                  <w:tcW w:type="dxa" w:w="1068"/>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数据校对</w:t>
                  </w:r>
                </w:p>
              </w:tc>
            </w:tr>
            <w:tr>
              <w:tc>
                <w:tcPr>
                  <w:tcW w:type="dxa" w:w="1068"/>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套内核计</w:t>
                  </w:r>
                </w:p>
              </w:tc>
            </w:tr>
            <w:tr>
              <w:tc>
                <w:tcPr>
                  <w:tcW w:type="dxa" w:w="1068"/>
                  <w:vMerge/>
                  <w:tcBorders>
                    <w:top w:val="none" w:color="000000" w:sz="4"/>
                    <w:left w:val="single" w:color="000000" w:sz="4"/>
                    <w:bottom w:val="single" w:color="000000" w:sz="4"/>
                    <w:right w:val="single" w:color="000000" w:sz="4"/>
                  </w:tcBorders>
                </w:tcPr>
                <w:p/>
              </w:tc>
              <w:tc>
                <w:tcPr>
                  <w:tcW w:type="dxa" w:w="4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成果</w:t>
                  </w: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录入</w:t>
                  </w:r>
                </w:p>
              </w:tc>
            </w:tr>
            <w:tr>
              <w:tc>
                <w:tcPr>
                  <w:tcW w:type="dxa" w:w="1068"/>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统一</w:t>
                  </w:r>
                </w:p>
              </w:tc>
            </w:tr>
            <w:tr>
              <w:tc>
                <w:tcPr>
                  <w:tcW w:type="dxa" w:w="1068"/>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页码设置</w:t>
                  </w:r>
                </w:p>
              </w:tc>
            </w:tr>
            <w:tr>
              <w:tc>
                <w:tcPr>
                  <w:tcW w:type="dxa" w:w="1068"/>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编码</w:t>
                  </w:r>
                </w:p>
              </w:tc>
            </w:tr>
            <w:tr>
              <w:tc>
                <w:tcPr>
                  <w:tcW w:type="dxa" w:w="1068"/>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幢面积统计</w:t>
                  </w:r>
                </w:p>
              </w:tc>
            </w:tr>
            <w:tr>
              <w:tc>
                <w:tcPr>
                  <w:tcW w:type="dxa" w:w="1068"/>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分摊计算</w:t>
                  </w:r>
                </w:p>
              </w:tc>
            </w:tr>
            <w:tr>
              <w:tc>
                <w:tcPr>
                  <w:tcW w:type="dxa" w:w="1068"/>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测量报告</w:t>
                  </w:r>
                </w:p>
              </w:tc>
            </w:tr>
            <w:tr>
              <w:tc>
                <w:tcPr>
                  <w:tcW w:type="dxa" w:w="1068"/>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质检报告</w:t>
                  </w:r>
                </w:p>
              </w:tc>
            </w:tr>
            <w:tr>
              <w:tc>
                <w:tcPr>
                  <w:tcW w:type="dxa" w:w="1068"/>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图形打印</w:t>
                  </w:r>
                </w:p>
              </w:tc>
            </w:tr>
            <w:tr>
              <w:tc>
                <w:tcPr>
                  <w:tcW w:type="dxa" w:w="1068"/>
                  <w:vMerge/>
                  <w:tcBorders>
                    <w:top w:val="none" w:color="000000" w:sz="4"/>
                    <w:left w:val="single" w:color="000000" w:sz="4"/>
                    <w:bottom w:val="single" w:color="000000" w:sz="4"/>
                    <w:right w:val="single" w:color="000000" w:sz="4"/>
                  </w:tcBorders>
                </w:tcPr>
                <w:p/>
              </w:tc>
              <w:tc>
                <w:tcPr>
                  <w:tcW w:type="dxa" w:w="4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工具</w:t>
                  </w: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距离</w:t>
                  </w:r>
                </w:p>
              </w:tc>
            </w:tr>
            <w:tr>
              <w:tc>
                <w:tcPr>
                  <w:tcW w:type="dxa" w:w="1068"/>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角度</w:t>
                  </w:r>
                </w:p>
              </w:tc>
            </w:tr>
            <w:tr>
              <w:tc>
                <w:tcPr>
                  <w:tcW w:type="dxa" w:w="1068"/>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移动</w:t>
                  </w:r>
                </w:p>
              </w:tc>
            </w:tr>
            <w:tr>
              <w:tc>
                <w:tcPr>
                  <w:tcW w:type="dxa" w:w="1068"/>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属性查询</w:t>
                  </w:r>
                </w:p>
              </w:tc>
            </w:tr>
            <w:tr>
              <w:tc>
                <w:tcPr>
                  <w:tcW w:type="dxa" w:w="1068"/>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单户查询</w:t>
                  </w:r>
                </w:p>
              </w:tc>
            </w:tr>
            <w:tr>
              <w:tc>
                <w:tcPr>
                  <w:tcW w:type="dxa" w:w="1068"/>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查看日志</w:t>
                  </w:r>
                </w:p>
              </w:tc>
            </w:tr>
            <w:tr>
              <w:tc>
                <w:tcPr>
                  <w:tcW w:type="dxa" w:w="1068"/>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参数</w:t>
                  </w:r>
                </w:p>
              </w:tc>
            </w:tr>
            <w:tr>
              <w:tc>
                <w:tcPr>
                  <w:tcW w:type="dxa" w:w="1068"/>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快捷键</w:t>
                  </w:r>
                </w:p>
              </w:tc>
            </w:tr>
          </w:tbl>
          <w:p>
            <w:pPr>
              <w:pStyle w:val="null3"/>
              <w:ind w:firstLine="480"/>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标的名称：2025年不动产“互联网+”运维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outlineLvl w:val="0"/>
            </w:pPr>
            <w:r>
              <w:rPr>
                <w:rFonts w:ascii="仿宋_GB2312" w:hAnsi="仿宋_GB2312" w:cs="仿宋_GB2312" w:eastAsia="仿宋_GB2312"/>
                <w:sz w:val="48"/>
                <w:b/>
              </w:rPr>
              <w:t>一、项目概况</w:t>
            </w:r>
          </w:p>
          <w:p>
            <w:pPr>
              <w:pStyle w:val="null3"/>
              <w:ind w:firstLine="560"/>
              <w:jc w:val="both"/>
            </w:pPr>
            <w:r>
              <w:rPr>
                <w:rFonts w:ascii="仿宋_GB2312" w:hAnsi="仿宋_GB2312" w:cs="仿宋_GB2312" w:eastAsia="仿宋_GB2312"/>
              </w:rPr>
              <w:t>西安市不动产登记信息管理</w:t>
            </w:r>
            <w:r>
              <w:rPr>
                <w:rFonts w:ascii="仿宋_GB2312" w:hAnsi="仿宋_GB2312" w:cs="仿宋_GB2312" w:eastAsia="仿宋_GB2312"/>
              </w:rPr>
              <w:t>“互联网+”运维服</w:t>
            </w:r>
            <w:r>
              <w:rPr>
                <w:rFonts w:ascii="仿宋_GB2312" w:hAnsi="仿宋_GB2312" w:cs="仿宋_GB2312" w:eastAsia="仿宋_GB2312"/>
                <w:sz w:val="18"/>
              </w:rPr>
              <w:t>务外包项</w:t>
            </w:r>
            <w:r>
              <w:rPr>
                <w:rFonts w:ascii="仿宋_GB2312" w:hAnsi="仿宋_GB2312" w:cs="仿宋_GB2312" w:eastAsia="仿宋_GB2312"/>
              </w:rPr>
              <w:t>目采购外包运维服务，保障“互联网+”不动产登记整套系统的正常工作及全市不动产登记业务的安全性、可靠性、连续性、便捷性。</w:t>
            </w:r>
          </w:p>
          <w:p>
            <w:pPr>
              <w:pStyle w:val="null3"/>
              <w:jc w:val="left"/>
              <w:outlineLvl w:val="0"/>
            </w:pPr>
            <w:r>
              <w:rPr>
                <w:rFonts w:ascii="仿宋_GB2312" w:hAnsi="仿宋_GB2312" w:cs="仿宋_GB2312" w:eastAsia="仿宋_GB2312"/>
                <w:sz w:val="48"/>
                <w:b/>
              </w:rPr>
              <w:t>二、服务范围</w:t>
            </w:r>
          </w:p>
          <w:p>
            <w:pPr>
              <w:pStyle w:val="null3"/>
              <w:ind w:firstLine="560"/>
            </w:pPr>
            <w:r>
              <w:rPr>
                <w:rFonts w:ascii="仿宋_GB2312" w:hAnsi="仿宋_GB2312" w:cs="仿宋_GB2312" w:eastAsia="仿宋_GB2312"/>
              </w:rPr>
              <w:t>服务范围包括西安市不动产登记对外发布的所有</w:t>
            </w:r>
            <w:r>
              <w:rPr>
                <w:rFonts w:ascii="仿宋_GB2312" w:hAnsi="仿宋_GB2312" w:cs="仿宋_GB2312" w:eastAsia="仿宋_GB2312"/>
              </w:rPr>
              <w:t>“互联网+”程序。</w:t>
            </w:r>
          </w:p>
          <w:p>
            <w:pPr>
              <w:pStyle w:val="null3"/>
              <w:ind w:firstLine="562"/>
              <w:jc w:val="center"/>
            </w:pPr>
            <w:r>
              <w:rPr>
                <w:rFonts w:ascii="仿宋_GB2312" w:hAnsi="仿宋_GB2312" w:cs="仿宋_GB2312" w:eastAsia="仿宋_GB2312"/>
                <w:b/>
              </w:rPr>
              <w:t>西安市不动产登记</w:t>
            </w:r>
            <w:r>
              <w:rPr>
                <w:rFonts w:ascii="仿宋_GB2312" w:hAnsi="仿宋_GB2312" w:cs="仿宋_GB2312" w:eastAsia="仿宋_GB2312"/>
                <w:b/>
              </w:rPr>
              <w:t>“互联网+”应用清单</w:t>
            </w:r>
          </w:p>
          <w:tbl>
            <w:tblPr>
              <w:tblBorders>
                <w:top w:val="none" w:color="000000" w:sz="4"/>
                <w:left w:val="none" w:color="000000" w:sz="4"/>
                <w:bottom w:val="none" w:color="000000" w:sz="4"/>
                <w:right w:val="none" w:color="000000" w:sz="4"/>
                <w:insideH w:val="none"/>
                <w:insideV w:val="none"/>
              </w:tblBorders>
            </w:tblPr>
            <w:tblGrid>
              <w:gridCol w:w="347"/>
              <w:gridCol w:w="1568"/>
              <w:gridCol w:w="633"/>
            </w:tblGrid>
            <w:tr>
              <w:tc>
                <w:tcPr>
                  <w:tcW w:type="dxa" w:w="347"/>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9"/>
                      <w:b/>
                      <w:color w:val="000000"/>
                    </w:rPr>
                    <w:t>序号</w:t>
                  </w:r>
                </w:p>
              </w:tc>
              <w:tc>
                <w:tcPr>
                  <w:tcW w:type="dxa" w:w="1568"/>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2"/>
                    <w:jc w:val="center"/>
                  </w:pPr>
                  <w:r>
                    <w:rPr>
                      <w:rFonts w:ascii="仿宋_GB2312" w:hAnsi="仿宋_GB2312" w:cs="仿宋_GB2312" w:eastAsia="仿宋_GB2312"/>
                      <w:sz w:val="19"/>
                      <w:b/>
                      <w:color w:val="000000"/>
                    </w:rPr>
                    <w:t>程序名称</w:t>
                  </w:r>
                </w:p>
              </w:tc>
              <w:tc>
                <w:tcPr>
                  <w:tcW w:type="dxa" w:w="63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2"/>
                    <w:jc w:val="center"/>
                  </w:pPr>
                  <w:r>
                    <w:rPr>
                      <w:rFonts w:ascii="仿宋_GB2312" w:hAnsi="仿宋_GB2312" w:cs="仿宋_GB2312" w:eastAsia="仿宋_GB2312"/>
                      <w:sz w:val="19"/>
                      <w:b/>
                      <w:color w:val="000000"/>
                    </w:rPr>
                    <w:t>是否已发布</w:t>
                  </w:r>
                </w:p>
              </w:tc>
            </w:tr>
            <w:tr>
              <w:tc>
                <w:tcPr>
                  <w:tcW w:type="dxa" w:w="34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19"/>
                      <w:color w:val="000000"/>
                    </w:rPr>
                    <w:t>1</w:t>
                  </w:r>
                </w:p>
              </w:tc>
              <w:tc>
                <w:tcPr>
                  <w:tcW w:type="dxa" w:w="15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center"/>
                  </w:pPr>
                  <w:r>
                    <w:rPr>
                      <w:rFonts w:ascii="仿宋_GB2312" w:hAnsi="仿宋_GB2312" w:cs="仿宋_GB2312" w:eastAsia="仿宋_GB2312"/>
                      <w:sz w:val="19"/>
                      <w:color w:val="000000"/>
                    </w:rPr>
                    <w:t>西安不动产登记微信公众号</w:t>
                  </w:r>
                </w:p>
              </w:tc>
              <w:tc>
                <w:tcPr>
                  <w:tcW w:type="dxa" w:w="6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center"/>
                  </w:pPr>
                  <w:r>
                    <w:rPr>
                      <w:rFonts w:ascii="仿宋_GB2312" w:hAnsi="仿宋_GB2312" w:cs="仿宋_GB2312" w:eastAsia="仿宋_GB2312"/>
                      <w:sz w:val="19"/>
                      <w:color w:val="000000"/>
                    </w:rPr>
                    <w:t>是</w:t>
                  </w:r>
                </w:p>
              </w:tc>
            </w:tr>
            <w:tr>
              <w:tc>
                <w:tcPr>
                  <w:tcW w:type="dxa" w:w="34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19"/>
                      <w:color w:val="000000"/>
                    </w:rPr>
                    <w:t>2</w:t>
                  </w:r>
                </w:p>
              </w:tc>
              <w:tc>
                <w:tcPr>
                  <w:tcW w:type="dxa" w:w="15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center"/>
                  </w:pPr>
                  <w:r>
                    <w:rPr>
                      <w:rFonts w:ascii="仿宋_GB2312" w:hAnsi="仿宋_GB2312" w:cs="仿宋_GB2312" w:eastAsia="仿宋_GB2312"/>
                      <w:sz w:val="19"/>
                      <w:color w:val="000000"/>
                    </w:rPr>
                    <w:t>i西安APP-不动产服务</w:t>
                  </w:r>
                </w:p>
              </w:tc>
              <w:tc>
                <w:tcPr>
                  <w:tcW w:type="dxa" w:w="6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center"/>
                  </w:pPr>
                  <w:r>
                    <w:rPr>
                      <w:rFonts w:ascii="仿宋_GB2312" w:hAnsi="仿宋_GB2312" w:cs="仿宋_GB2312" w:eastAsia="仿宋_GB2312"/>
                      <w:sz w:val="19"/>
                      <w:color w:val="000000"/>
                    </w:rPr>
                    <w:t>是</w:t>
                  </w:r>
                </w:p>
              </w:tc>
            </w:tr>
            <w:tr>
              <w:tc>
                <w:tcPr>
                  <w:tcW w:type="dxa" w:w="34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19"/>
                    </w:rPr>
                    <w:t>3</w:t>
                  </w:r>
                </w:p>
              </w:tc>
              <w:tc>
                <w:tcPr>
                  <w:tcW w:type="dxa" w:w="15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center"/>
                  </w:pPr>
                  <w:r>
                    <w:rPr>
                      <w:rFonts w:ascii="仿宋_GB2312" w:hAnsi="仿宋_GB2312" w:cs="仿宋_GB2312" w:eastAsia="仿宋_GB2312"/>
                      <w:sz w:val="19"/>
                    </w:rPr>
                    <w:t>陕西政务服务网一网通办</w:t>
                  </w:r>
                </w:p>
              </w:tc>
              <w:tc>
                <w:tcPr>
                  <w:tcW w:type="dxa" w:w="6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center"/>
                  </w:pPr>
                  <w:r>
                    <w:rPr>
                      <w:rFonts w:ascii="仿宋_GB2312" w:hAnsi="仿宋_GB2312" w:cs="仿宋_GB2312" w:eastAsia="仿宋_GB2312"/>
                      <w:sz w:val="19"/>
                    </w:rPr>
                    <w:t>是</w:t>
                  </w:r>
                </w:p>
              </w:tc>
            </w:tr>
            <w:tr>
              <w:tc>
                <w:tcPr>
                  <w:tcW w:type="dxa" w:w="34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19"/>
                    </w:rPr>
                    <w:t>4</w:t>
                  </w:r>
                </w:p>
              </w:tc>
              <w:tc>
                <w:tcPr>
                  <w:tcW w:type="dxa" w:w="15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center"/>
                  </w:pPr>
                  <w:r>
                    <w:rPr>
                      <w:rFonts w:ascii="仿宋_GB2312" w:hAnsi="仿宋_GB2312" w:cs="仿宋_GB2312" w:eastAsia="仿宋_GB2312"/>
                      <w:sz w:val="19"/>
                    </w:rPr>
                    <w:t xml:space="preserve"> </w:t>
                  </w:r>
                  <w:r>
                    <w:rPr>
                      <w:rFonts w:ascii="仿宋_GB2312" w:hAnsi="仿宋_GB2312" w:cs="仿宋_GB2312" w:eastAsia="仿宋_GB2312"/>
                      <w:sz w:val="19"/>
                    </w:rPr>
                    <w:t>西安市不动产登记网上</w:t>
                  </w:r>
                  <w:r>
                    <w:rPr>
                      <w:rFonts w:ascii="仿宋_GB2312" w:hAnsi="仿宋_GB2312" w:cs="仿宋_GB2312" w:eastAsia="仿宋_GB2312"/>
                      <w:sz w:val="19"/>
                    </w:rPr>
                    <w:t>“一窗办事”平台</w:t>
                  </w:r>
                </w:p>
              </w:tc>
              <w:tc>
                <w:tcPr>
                  <w:tcW w:type="dxa" w:w="6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center"/>
                  </w:pPr>
                  <w:r>
                    <w:rPr>
                      <w:rFonts w:ascii="仿宋_GB2312" w:hAnsi="仿宋_GB2312" w:cs="仿宋_GB2312" w:eastAsia="仿宋_GB2312"/>
                      <w:sz w:val="19"/>
                    </w:rPr>
                    <w:t>是</w:t>
                  </w:r>
                </w:p>
              </w:tc>
            </w:tr>
            <w:tr>
              <w:tc>
                <w:tcPr>
                  <w:tcW w:type="dxa" w:w="34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19"/>
                    </w:rPr>
                    <w:t>5</w:t>
                  </w:r>
                </w:p>
              </w:tc>
              <w:tc>
                <w:tcPr>
                  <w:tcW w:type="dxa" w:w="15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center"/>
                  </w:pPr>
                  <w:r>
                    <w:rPr>
                      <w:rFonts w:ascii="仿宋_GB2312" w:hAnsi="仿宋_GB2312" w:cs="仿宋_GB2312" w:eastAsia="仿宋_GB2312"/>
                      <w:sz w:val="19"/>
                    </w:rPr>
                    <w:t>陕西不动产登记跨省通办</w:t>
                  </w:r>
                </w:p>
              </w:tc>
              <w:tc>
                <w:tcPr>
                  <w:tcW w:type="dxa" w:w="6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center"/>
                  </w:pPr>
                  <w:r>
                    <w:rPr>
                      <w:rFonts w:ascii="仿宋_GB2312" w:hAnsi="仿宋_GB2312" w:cs="仿宋_GB2312" w:eastAsia="仿宋_GB2312"/>
                      <w:sz w:val="19"/>
                    </w:rPr>
                    <w:t>是</w:t>
                  </w:r>
                </w:p>
              </w:tc>
            </w:tr>
            <w:tr>
              <w:tc>
                <w:tcPr>
                  <w:tcW w:type="dxa" w:w="34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19"/>
                    </w:rPr>
                    <w:t>6</w:t>
                  </w:r>
                </w:p>
              </w:tc>
              <w:tc>
                <w:tcPr>
                  <w:tcW w:type="dxa" w:w="15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center"/>
                  </w:pPr>
                  <w:r>
                    <w:rPr>
                      <w:rFonts w:ascii="仿宋_GB2312" w:hAnsi="仿宋_GB2312" w:cs="仿宋_GB2312" w:eastAsia="仿宋_GB2312"/>
                      <w:sz w:val="19"/>
                    </w:rPr>
                    <w:t>西安市不动产接口服务平台</w:t>
                  </w:r>
                </w:p>
              </w:tc>
              <w:tc>
                <w:tcPr>
                  <w:tcW w:type="dxa" w:w="6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center"/>
                  </w:pPr>
                  <w:r>
                    <w:rPr>
                      <w:rFonts w:ascii="仿宋_GB2312" w:hAnsi="仿宋_GB2312" w:cs="仿宋_GB2312" w:eastAsia="仿宋_GB2312"/>
                      <w:sz w:val="19"/>
                    </w:rPr>
                    <w:t>是</w:t>
                  </w:r>
                </w:p>
              </w:tc>
            </w:tr>
          </w:tbl>
          <w:p>
            <w:pPr>
              <w:pStyle w:val="null3"/>
              <w:ind w:firstLine="640"/>
              <w:jc w:val="both"/>
              <w:outlineLvl w:val="0"/>
            </w:pPr>
            <w:r>
              <w:rPr>
                <w:rFonts w:ascii="仿宋_GB2312" w:hAnsi="仿宋_GB2312" w:cs="仿宋_GB2312" w:eastAsia="仿宋_GB2312"/>
                <w:sz w:val="48"/>
                <w:b/>
              </w:rPr>
              <w:t>三、服务内容</w:t>
            </w:r>
          </w:p>
          <w:p>
            <w:pPr>
              <w:pStyle w:val="null3"/>
              <w:numPr>
                <w:ilvl w:val="0"/>
                <w:numId w:val="1"/>
              </w:numPr>
              <w:jc w:val="both"/>
            </w:pPr>
            <w:r>
              <w:rPr>
                <w:rFonts w:ascii="仿宋_GB2312" w:hAnsi="仿宋_GB2312" w:cs="仿宋_GB2312" w:eastAsia="仿宋_GB2312"/>
              </w:rPr>
              <w:t>问题处理，处理</w:t>
            </w:r>
            <w:r>
              <w:rPr>
                <w:rFonts w:ascii="仿宋_GB2312" w:hAnsi="仿宋_GB2312" w:cs="仿宋_GB2312" w:eastAsia="仿宋_GB2312"/>
              </w:rPr>
              <w:t>不动产登记</w:t>
            </w:r>
            <w:r>
              <w:rPr>
                <w:rFonts w:ascii="仿宋_GB2312" w:hAnsi="仿宋_GB2312" w:cs="仿宋_GB2312" w:eastAsia="仿宋_GB2312"/>
              </w:rPr>
              <w:t>“互联网+”应用</w:t>
            </w:r>
            <w:r>
              <w:rPr>
                <w:rFonts w:ascii="仿宋_GB2312" w:hAnsi="仿宋_GB2312" w:cs="仿宋_GB2312" w:eastAsia="仿宋_GB2312"/>
              </w:rPr>
              <w:t>日常出现的程序问题，处理用户使用时遇到的操作问题，处理不动产登记</w:t>
            </w:r>
            <w:r>
              <w:rPr>
                <w:rFonts w:ascii="仿宋_GB2312" w:hAnsi="仿宋_GB2312" w:cs="仿宋_GB2312" w:eastAsia="仿宋_GB2312"/>
              </w:rPr>
              <w:t>“互联网+”应用日常产生的数据问题。</w:t>
            </w:r>
          </w:p>
          <w:p>
            <w:pPr>
              <w:pStyle w:val="null3"/>
              <w:numPr>
                <w:ilvl w:val="0"/>
                <w:numId w:val="1"/>
              </w:numPr>
              <w:jc w:val="both"/>
            </w:pPr>
            <w:r>
              <w:rPr>
                <w:rFonts w:ascii="仿宋_GB2312" w:hAnsi="仿宋_GB2312" w:cs="仿宋_GB2312" w:eastAsia="仿宋_GB2312"/>
              </w:rPr>
              <w:t>投诉处理，妥善处理日常收到的投诉问题。</w:t>
            </w:r>
          </w:p>
          <w:p>
            <w:pPr>
              <w:pStyle w:val="null3"/>
              <w:numPr>
                <w:ilvl w:val="0"/>
                <w:numId w:val="1"/>
              </w:numPr>
              <w:jc w:val="both"/>
            </w:pPr>
            <w:r>
              <w:rPr>
                <w:rFonts w:ascii="仿宋_GB2312" w:hAnsi="仿宋_GB2312" w:cs="仿宋_GB2312" w:eastAsia="仿宋_GB2312"/>
              </w:rPr>
              <w:t>功能整理，整理用户使用过程中提出的需求，整理国家关于</w:t>
            </w:r>
            <w:r>
              <w:rPr>
                <w:rFonts w:ascii="仿宋_GB2312" w:hAnsi="仿宋_GB2312" w:cs="仿宋_GB2312" w:eastAsia="仿宋_GB2312"/>
              </w:rPr>
              <w:t>“互联网+”不动产登记新政策法规要求，及时形成功能清单，为优化提供参考。</w:t>
            </w:r>
          </w:p>
          <w:p>
            <w:pPr>
              <w:pStyle w:val="null3"/>
              <w:numPr>
                <w:ilvl w:val="0"/>
                <w:numId w:val="1"/>
              </w:numPr>
              <w:jc w:val="both"/>
            </w:pPr>
            <w:r>
              <w:rPr>
                <w:rFonts w:ascii="仿宋_GB2312" w:hAnsi="仿宋_GB2312" w:cs="仿宋_GB2312" w:eastAsia="仿宋_GB2312"/>
              </w:rPr>
              <w:t>图文编辑，编写、校对日常工作文稿，能够进行</w:t>
            </w:r>
            <w:r>
              <w:rPr>
                <w:rFonts w:ascii="仿宋_GB2312" w:hAnsi="仿宋_GB2312" w:cs="仿宋_GB2312" w:eastAsia="仿宋_GB2312"/>
              </w:rPr>
              <w:t>UI界面设计及图片设计制作。</w:t>
            </w:r>
          </w:p>
          <w:p>
            <w:pPr>
              <w:pStyle w:val="null3"/>
              <w:numPr>
                <w:ilvl w:val="0"/>
                <w:numId w:val="1"/>
              </w:numPr>
              <w:jc w:val="both"/>
            </w:pPr>
            <w:r>
              <w:rPr>
                <w:rFonts w:ascii="仿宋_GB2312" w:hAnsi="仿宋_GB2312" w:cs="仿宋_GB2312" w:eastAsia="仿宋_GB2312"/>
              </w:rPr>
              <w:t>程序更新，日常的程序维护、更新、部署、测试及联调。</w:t>
            </w:r>
          </w:p>
          <w:p>
            <w:pPr>
              <w:pStyle w:val="null3"/>
              <w:numPr>
                <w:ilvl w:val="0"/>
                <w:numId w:val="1"/>
              </w:numPr>
              <w:jc w:val="both"/>
            </w:pPr>
            <w:r>
              <w:rPr>
                <w:rFonts w:ascii="仿宋_GB2312" w:hAnsi="仿宋_GB2312" w:cs="仿宋_GB2312" w:eastAsia="仿宋_GB2312"/>
              </w:rPr>
              <w:t>安全维护，每日对应用程序与服务器实时安全监控，关注安全动态，对服务器、数据库的重大安全漏洞及时进行补丁修复，做好日报、周报、月报及年终总结报告。需有专业资质、技术能力及服务经验的运维服务供应商提供服务。</w:t>
            </w:r>
          </w:p>
          <w:p>
            <w:pPr>
              <w:pStyle w:val="null3"/>
              <w:jc w:val="left"/>
              <w:outlineLvl w:val="0"/>
            </w:pPr>
            <w:r>
              <w:rPr>
                <w:rFonts w:ascii="仿宋_GB2312" w:hAnsi="仿宋_GB2312" w:cs="仿宋_GB2312" w:eastAsia="仿宋_GB2312"/>
                <w:sz w:val="48"/>
                <w:b/>
              </w:rPr>
              <w:t>四、技术要求</w:t>
            </w:r>
          </w:p>
          <w:p>
            <w:pPr>
              <w:pStyle w:val="null3"/>
              <w:ind w:firstLine="560"/>
              <w:jc w:val="both"/>
            </w:pPr>
            <w:r>
              <w:rPr>
                <w:rFonts w:ascii="仿宋_GB2312" w:hAnsi="仿宋_GB2312" w:cs="仿宋_GB2312" w:eastAsia="仿宋_GB2312"/>
              </w:rPr>
              <w:t>（一）安全服务类</w:t>
            </w:r>
          </w:p>
          <w:p>
            <w:pPr>
              <w:pStyle w:val="null3"/>
              <w:ind w:firstLine="560"/>
              <w:jc w:val="both"/>
            </w:pPr>
            <w:r>
              <w:rPr>
                <w:rFonts w:ascii="仿宋_GB2312" w:hAnsi="仿宋_GB2312" w:cs="仿宋_GB2312" w:eastAsia="仿宋_GB2312"/>
              </w:rPr>
              <w:t>1、实时监测与安全防护</w:t>
            </w:r>
          </w:p>
          <w:p>
            <w:pPr>
              <w:pStyle w:val="null3"/>
              <w:ind w:firstLine="560"/>
              <w:jc w:val="both"/>
            </w:pPr>
            <w:r>
              <w:rPr>
                <w:rFonts w:ascii="仿宋_GB2312" w:hAnsi="仿宋_GB2312" w:cs="仿宋_GB2312" w:eastAsia="仿宋_GB2312"/>
              </w:rPr>
              <w:t>中标单位应提供完整的安全架构方案，通过各类技术手段对数据爬取、恶意扫描、恶意攻击、恶意篡改等网络攻击行为进行有效阻绝。</w:t>
            </w:r>
          </w:p>
          <w:p>
            <w:pPr>
              <w:pStyle w:val="null3"/>
              <w:ind w:firstLine="560"/>
              <w:jc w:val="both"/>
            </w:pPr>
            <w:r>
              <w:rPr>
                <w:rFonts w:ascii="仿宋_GB2312" w:hAnsi="仿宋_GB2312" w:cs="仿宋_GB2312" w:eastAsia="仿宋_GB2312"/>
              </w:rPr>
              <w:t>对应用服务与服务器各项性能指标进行实时监测，出现高风险时自动报警并及时进行分析处理。对系统各项关键配置定期进行检测，发现漏洞及时修复。</w:t>
            </w:r>
          </w:p>
          <w:p>
            <w:pPr>
              <w:pStyle w:val="null3"/>
              <w:ind w:firstLine="560"/>
              <w:jc w:val="both"/>
            </w:pPr>
            <w:r>
              <w:rPr>
                <w:rFonts w:ascii="仿宋_GB2312" w:hAnsi="仿宋_GB2312" w:cs="仿宋_GB2312" w:eastAsia="仿宋_GB2312"/>
              </w:rPr>
              <w:t>建立有效的漏洞情报监控体系，建设完善的漏洞补丁管理能力。积极安装最新补丁，修复漏洞。缩短漏洞平均存续期，最大限度降低攻击风险。</w:t>
            </w:r>
          </w:p>
          <w:p>
            <w:pPr>
              <w:pStyle w:val="null3"/>
              <w:ind w:firstLine="560"/>
              <w:jc w:val="both"/>
            </w:pPr>
            <w:r>
              <w:rPr>
                <w:rFonts w:ascii="仿宋_GB2312" w:hAnsi="仿宋_GB2312" w:cs="仿宋_GB2312" w:eastAsia="仿宋_GB2312"/>
              </w:rPr>
              <w:t>2、7×24小时响应支持</w:t>
            </w:r>
          </w:p>
          <w:p>
            <w:pPr>
              <w:pStyle w:val="null3"/>
              <w:ind w:firstLine="560"/>
              <w:jc w:val="both"/>
            </w:pPr>
            <w:r>
              <w:rPr>
                <w:rFonts w:ascii="仿宋_GB2312" w:hAnsi="仿宋_GB2312" w:cs="仿宋_GB2312" w:eastAsia="仿宋_GB2312"/>
              </w:rPr>
              <w:t>中标单位的技术支持人员和以及项目经理、项目协调人和一线工程师手机保持全天候开机，为用户提供</w:t>
            </w:r>
            <w:r>
              <w:rPr>
                <w:rFonts w:ascii="仿宋_GB2312" w:hAnsi="仿宋_GB2312" w:cs="仿宋_GB2312" w:eastAsia="仿宋_GB2312"/>
              </w:rPr>
              <w:t>7×24小时电话技术支持与应急响应。支持范围包括产品的功能、配置、安装、调试、个性化以及使用中遇到的各种技术问题的一般性咨询，并随时准备处理各种突发事件。</w:t>
            </w:r>
          </w:p>
          <w:p>
            <w:pPr>
              <w:pStyle w:val="null3"/>
              <w:ind w:firstLine="560"/>
              <w:jc w:val="both"/>
            </w:pPr>
            <w:r>
              <w:rPr>
                <w:rFonts w:ascii="仿宋_GB2312" w:hAnsi="仿宋_GB2312" w:cs="仿宋_GB2312" w:eastAsia="仿宋_GB2312"/>
              </w:rPr>
              <w:t>3、故障解决服务</w:t>
            </w:r>
          </w:p>
          <w:p>
            <w:pPr>
              <w:pStyle w:val="null3"/>
              <w:ind w:firstLine="560"/>
              <w:jc w:val="both"/>
            </w:pPr>
            <w:r>
              <w:rPr>
                <w:rFonts w:ascii="仿宋_GB2312" w:hAnsi="仿宋_GB2312" w:cs="仿宋_GB2312" w:eastAsia="仿宋_GB2312"/>
              </w:rPr>
              <w:t>中标单位提供软件的故障诊断支持服务，在故障发生后，在最短时间判断出故障的原因，然后进行有针对性的修复，可缩短故障修复时间，缩短业务中断时间。</w:t>
            </w:r>
          </w:p>
          <w:p>
            <w:pPr>
              <w:pStyle w:val="null3"/>
              <w:ind w:firstLine="560"/>
              <w:jc w:val="both"/>
            </w:pPr>
            <w:r>
              <w:rPr>
                <w:rFonts w:ascii="仿宋_GB2312" w:hAnsi="仿宋_GB2312" w:cs="仿宋_GB2312" w:eastAsia="仿宋_GB2312"/>
              </w:rPr>
              <w:t>（二）技术服务类</w:t>
            </w:r>
          </w:p>
          <w:p>
            <w:pPr>
              <w:pStyle w:val="null3"/>
              <w:ind w:firstLine="560"/>
              <w:jc w:val="both"/>
            </w:pPr>
            <w:r>
              <w:rPr>
                <w:rFonts w:ascii="仿宋_GB2312" w:hAnsi="仿宋_GB2312" w:cs="仿宋_GB2312" w:eastAsia="仿宋_GB2312"/>
              </w:rPr>
              <w:t>1、管理制度梳理</w:t>
            </w:r>
          </w:p>
          <w:p>
            <w:pPr>
              <w:pStyle w:val="null3"/>
              <w:ind w:firstLine="560"/>
              <w:jc w:val="both"/>
            </w:pPr>
            <w:r>
              <w:rPr>
                <w:rFonts w:ascii="仿宋_GB2312" w:hAnsi="仿宋_GB2312" w:cs="仿宋_GB2312" w:eastAsia="仿宋_GB2312"/>
              </w:rPr>
              <w:t>中标单位需与西安市不动产信息档案中心沟通，人员入场前针对各系统制定管理计划与管理制度。管理计划分阶段进行优化，在每次定期汇报交流后修改管理计划，形成下一阶段的管理计划，使管理计划持续更新，充分满足当前业务的需求。</w:t>
            </w:r>
          </w:p>
          <w:p>
            <w:pPr>
              <w:pStyle w:val="null3"/>
              <w:ind w:firstLine="560"/>
              <w:jc w:val="both"/>
            </w:pPr>
            <w:r>
              <w:rPr>
                <w:rFonts w:ascii="仿宋_GB2312" w:hAnsi="仿宋_GB2312" w:cs="仿宋_GB2312" w:eastAsia="仿宋_GB2312"/>
              </w:rPr>
              <w:t>2、应急服务</w:t>
            </w:r>
          </w:p>
          <w:p>
            <w:pPr>
              <w:pStyle w:val="null3"/>
              <w:ind w:firstLine="560"/>
              <w:jc w:val="both"/>
            </w:pPr>
            <w:r>
              <w:rPr>
                <w:rFonts w:ascii="仿宋_GB2312" w:hAnsi="仿宋_GB2312" w:cs="仿宋_GB2312" w:eastAsia="仿宋_GB2312"/>
              </w:rPr>
              <w:t>运维小组应制定详尽的应急处理预案。在服务维护过程中，意外情况将难以完全避免。项目组需对项目实施的突发风险进行风险评估，结合实际情况，定期对应用系统进行备份。针对各类突发事件，设计相应的预防与解决措施，同时提供完整的应急处理流程。</w:t>
            </w:r>
          </w:p>
          <w:p>
            <w:pPr>
              <w:pStyle w:val="null3"/>
              <w:ind w:firstLine="560"/>
              <w:jc w:val="both"/>
            </w:pPr>
            <w:r>
              <w:rPr>
                <w:rFonts w:ascii="仿宋_GB2312" w:hAnsi="仿宋_GB2312" w:cs="仿宋_GB2312" w:eastAsia="仿宋_GB2312"/>
              </w:rPr>
              <w:t>3、其他服务</w:t>
            </w:r>
          </w:p>
          <w:p>
            <w:pPr>
              <w:pStyle w:val="null3"/>
              <w:ind w:firstLine="560"/>
              <w:jc w:val="both"/>
            </w:pPr>
            <w:r>
              <w:rPr>
                <w:rFonts w:ascii="仿宋_GB2312" w:hAnsi="仿宋_GB2312" w:cs="仿宋_GB2312" w:eastAsia="仿宋_GB2312"/>
              </w:rPr>
              <w:t>定期生成运维服务报告。</w:t>
            </w:r>
          </w:p>
          <w:p>
            <w:pPr>
              <w:pStyle w:val="null3"/>
              <w:ind w:firstLine="560"/>
              <w:jc w:val="both"/>
            </w:pPr>
            <w:r>
              <w:rPr>
                <w:rFonts w:ascii="仿宋_GB2312" w:hAnsi="仿宋_GB2312" w:cs="仿宋_GB2312" w:eastAsia="仿宋_GB2312"/>
              </w:rPr>
              <w:t>确保该系统正常运行的其他临时性工作。</w:t>
            </w:r>
            <w:r>
              <w:rPr>
                <w:rFonts w:ascii="仿宋_GB2312" w:hAnsi="仿宋_GB2312" w:cs="仿宋_GB2312" w:eastAsia="仿宋_GB2312"/>
              </w:rPr>
              <w:t xml:space="preserve"> </w:t>
            </w:r>
          </w:p>
          <w:p>
            <w:pPr>
              <w:pStyle w:val="null3"/>
              <w:ind w:firstLine="560"/>
              <w:jc w:val="both"/>
            </w:pPr>
            <w:r>
              <w:rPr>
                <w:rFonts w:ascii="仿宋_GB2312" w:hAnsi="仿宋_GB2312" w:cs="仿宋_GB2312" w:eastAsia="仿宋_GB2312"/>
              </w:rPr>
              <w:t>（三）业务服务类</w:t>
            </w:r>
          </w:p>
          <w:p>
            <w:pPr>
              <w:pStyle w:val="null3"/>
              <w:ind w:firstLine="560"/>
              <w:jc w:val="both"/>
            </w:pPr>
            <w:r>
              <w:rPr>
                <w:rFonts w:ascii="仿宋_GB2312" w:hAnsi="仿宋_GB2312" w:cs="仿宋_GB2312" w:eastAsia="仿宋_GB2312"/>
              </w:rPr>
              <w:t>1、宣传文案发布服务</w:t>
            </w:r>
          </w:p>
          <w:p>
            <w:pPr>
              <w:pStyle w:val="null3"/>
              <w:ind w:firstLine="560"/>
              <w:jc w:val="both"/>
            </w:pPr>
            <w:r>
              <w:rPr>
                <w:rFonts w:ascii="仿宋_GB2312" w:hAnsi="仿宋_GB2312" w:cs="仿宋_GB2312" w:eastAsia="仿宋_GB2312"/>
              </w:rPr>
              <w:t>中标单位</w:t>
            </w:r>
            <w:r>
              <w:rPr>
                <w:rFonts w:ascii="仿宋_GB2312" w:hAnsi="仿宋_GB2312" w:cs="仿宋_GB2312" w:eastAsia="仿宋_GB2312"/>
              </w:rPr>
              <w:t>应配置文案编辑团队，负责对实事动态进行汇总，编辑形成新闻稿件。对提供的稿件进行内容核实、编辑、美工与排版等工作。经常性的对规章制度、办事指南、政策法规等进行收集、整理、更新并发布。加强后台管理，对管理员名单、系统配置、服务器配置等形成保密材料定期交中心归档。</w:t>
            </w:r>
          </w:p>
          <w:p>
            <w:pPr>
              <w:pStyle w:val="null3"/>
              <w:ind w:firstLine="560"/>
              <w:jc w:val="both"/>
            </w:pPr>
            <w:r>
              <w:rPr>
                <w:rFonts w:ascii="仿宋_GB2312" w:hAnsi="仿宋_GB2312" w:cs="仿宋_GB2312" w:eastAsia="仿宋_GB2312"/>
              </w:rPr>
              <w:t>2、不动产业务相关服务</w:t>
            </w:r>
          </w:p>
          <w:p>
            <w:pPr>
              <w:pStyle w:val="null3"/>
              <w:ind w:firstLine="560"/>
              <w:jc w:val="both"/>
            </w:pPr>
            <w:r>
              <w:rPr>
                <w:rFonts w:ascii="仿宋_GB2312" w:hAnsi="仿宋_GB2312" w:cs="仿宋_GB2312" w:eastAsia="仿宋_GB2312"/>
              </w:rPr>
              <w:t>西安不动产用户在使用</w:t>
            </w:r>
            <w:r>
              <w:rPr>
                <w:rFonts w:ascii="仿宋_GB2312" w:hAnsi="仿宋_GB2312" w:cs="仿宋_GB2312" w:eastAsia="仿宋_GB2312"/>
              </w:rPr>
              <w:t>APP、微信、开发企业不动产申报系统等的过程中，会出现信息异常情况，用户向客服中心进行问题反馈后，中标单位需对异常情况进行分析排查。</w:t>
            </w:r>
          </w:p>
          <w:p>
            <w:pPr>
              <w:pStyle w:val="null3"/>
              <w:ind w:firstLine="560"/>
              <w:jc w:val="both"/>
            </w:pPr>
            <w:r>
              <w:rPr>
                <w:rFonts w:ascii="仿宋_GB2312" w:hAnsi="仿宋_GB2312" w:cs="仿宋_GB2312" w:eastAsia="仿宋_GB2312"/>
              </w:rPr>
              <w:t>中标单位</w:t>
            </w:r>
            <w:r>
              <w:rPr>
                <w:rFonts w:ascii="仿宋_GB2312" w:hAnsi="仿宋_GB2312" w:cs="仿宋_GB2312" w:eastAsia="仿宋_GB2312"/>
              </w:rPr>
              <w:t>须处理不动产登记</w:t>
            </w:r>
            <w:r>
              <w:rPr>
                <w:rFonts w:ascii="仿宋_GB2312" w:hAnsi="仿宋_GB2312" w:cs="仿宋_GB2312" w:eastAsia="仿宋_GB2312"/>
              </w:rPr>
              <w:t>“互联网+”应用的权限分配事宜。对不动产登记“互联网+”应用自身的数据问题以及与不动产登记平台业务交互中出现的数据问题进行快速有效的处理。对与业务相关的系统故障，配合其他技术部门进行联合研判，精确处理。</w:t>
            </w:r>
          </w:p>
          <w:p>
            <w:pPr>
              <w:pStyle w:val="null3"/>
              <w:ind w:firstLine="560"/>
              <w:jc w:val="both"/>
            </w:pPr>
            <w:r>
              <w:rPr>
                <w:rFonts w:ascii="仿宋_GB2312" w:hAnsi="仿宋_GB2312" w:cs="仿宋_GB2312" w:eastAsia="仿宋_GB2312"/>
              </w:rPr>
              <w:t>中标单位</w:t>
            </w:r>
            <w:r>
              <w:rPr>
                <w:rFonts w:ascii="仿宋_GB2312" w:hAnsi="仿宋_GB2312" w:cs="仿宋_GB2312" w:eastAsia="仿宋_GB2312"/>
              </w:rPr>
              <w:t>须定期收集用户需求，对用户提出的需求进行需求设计，开发相应的程序功能，按照实际情况对系统进行更新。对中心在与其他单位就相关不动产</w:t>
            </w:r>
            <w:r>
              <w:rPr>
                <w:rFonts w:ascii="仿宋_GB2312" w:hAnsi="仿宋_GB2312" w:cs="仿宋_GB2312" w:eastAsia="仿宋_GB2312"/>
              </w:rPr>
              <w:t>“互联网+”业务需求进行对接时，提供技术支持并提出相应的技术方案。</w:t>
            </w:r>
          </w:p>
          <w:p>
            <w:pPr>
              <w:pStyle w:val="null3"/>
              <w:jc w:val="left"/>
              <w:outlineLvl w:val="0"/>
            </w:pPr>
            <w:r>
              <w:rPr>
                <w:rFonts w:ascii="仿宋_GB2312" w:hAnsi="仿宋_GB2312" w:cs="仿宋_GB2312" w:eastAsia="仿宋_GB2312"/>
                <w:sz w:val="48"/>
                <w:b/>
              </w:rPr>
              <w:t>五、服务要求</w:t>
            </w:r>
          </w:p>
          <w:p>
            <w:pPr>
              <w:pStyle w:val="null3"/>
              <w:ind w:firstLine="560"/>
              <w:jc w:val="both"/>
            </w:pPr>
            <w:r>
              <w:rPr>
                <w:rFonts w:ascii="仿宋_GB2312" w:hAnsi="仿宋_GB2312" w:cs="仿宋_GB2312" w:eastAsia="仿宋_GB2312"/>
              </w:rPr>
              <w:t>服务人数：</w:t>
            </w:r>
            <w:r>
              <w:rPr>
                <w:rFonts w:ascii="仿宋_GB2312" w:hAnsi="仿宋_GB2312" w:cs="仿宋_GB2312" w:eastAsia="仿宋_GB2312"/>
              </w:rPr>
              <w:t>中标单位</w:t>
            </w:r>
            <w:r>
              <w:rPr>
                <w:rFonts w:ascii="仿宋_GB2312" w:hAnsi="仿宋_GB2312" w:cs="仿宋_GB2312" w:eastAsia="仿宋_GB2312"/>
              </w:rPr>
              <w:t>服务期间需提供</w:t>
            </w:r>
            <w:r>
              <w:rPr>
                <w:rFonts w:ascii="仿宋_GB2312" w:hAnsi="仿宋_GB2312" w:cs="仿宋_GB2312" w:eastAsia="仿宋_GB2312"/>
              </w:rPr>
              <w:t>6名工程师作为一线工程师5×8小时（工作日）驻场服务，完成日常维护和故障解决，现场工程师解决不了，</w:t>
            </w:r>
            <w:r>
              <w:rPr>
                <w:rFonts w:ascii="仿宋_GB2312" w:hAnsi="仿宋_GB2312" w:cs="仿宋_GB2312" w:eastAsia="仿宋_GB2312"/>
              </w:rPr>
              <w:t>中标单位</w:t>
            </w:r>
            <w:r>
              <w:rPr>
                <w:rFonts w:ascii="仿宋_GB2312" w:hAnsi="仿宋_GB2312" w:cs="仿宋_GB2312" w:eastAsia="仿宋_GB2312"/>
              </w:rPr>
              <w:t>需提</w:t>
            </w:r>
            <w:r>
              <w:rPr>
                <w:rFonts w:ascii="仿宋_GB2312" w:hAnsi="仿宋_GB2312" w:cs="仿宋_GB2312" w:eastAsia="仿宋_GB2312"/>
              </w:rPr>
              <w:t>供二线工程师协助解决，半小时响应，</w:t>
            </w:r>
            <w:r>
              <w:rPr>
                <w:rFonts w:ascii="仿宋_GB2312" w:hAnsi="仿宋_GB2312" w:cs="仿宋_GB2312" w:eastAsia="仿宋_GB2312"/>
              </w:rPr>
              <w:t>1小时到场，保证系统的运行稳定。</w:t>
            </w:r>
          </w:p>
          <w:p>
            <w:pPr>
              <w:pStyle w:val="null3"/>
              <w:ind w:firstLine="560"/>
            </w:pPr>
            <w:r>
              <w:rPr>
                <w:rFonts w:ascii="仿宋_GB2312" w:hAnsi="仿宋_GB2312" w:cs="仿宋_GB2312" w:eastAsia="仿宋_GB2312"/>
              </w:rPr>
              <w:t>中标单位签订合同同时，需与采购人签订该项目保密协议。根据采购人要求，不得将采购人的保密信息泄露。中标单位需要向采购人提供驻场人员及项目经理在公安机关开具的无犯罪记录的证明文件。</w:t>
            </w:r>
          </w:p>
          <w:p>
            <w:pPr>
              <w:pStyle w:val="null3"/>
              <w:ind w:firstLine="560"/>
            </w:pPr>
            <w:r>
              <w:rPr>
                <w:rFonts w:ascii="仿宋_GB2312" w:hAnsi="仿宋_GB2312" w:cs="仿宋_GB2312" w:eastAsia="仿宋_GB2312"/>
              </w:rPr>
              <w:t>中标单位不得对服务业务分包或转包。否则采购人有权终止合同，中标单位要承担由此造成的一切经济损失。</w:t>
            </w:r>
          </w:p>
          <w:p>
            <w:pPr>
              <w:pStyle w:val="null3"/>
              <w:ind w:firstLine="560"/>
            </w:pPr>
            <w:r>
              <w:rPr>
                <w:rFonts w:ascii="仿宋_GB2312" w:hAnsi="仿宋_GB2312" w:cs="仿宋_GB2312" w:eastAsia="仿宋_GB2312"/>
              </w:rPr>
              <w:t>中标单位不得在服务期间对项目管理人员进行更换，如遇特殊情况须经采购人同意；采购人发现项目管理人员工作不力时，有权提出更换人员，更换的人员必须及时到场。</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标的名称：2025年不动产大厅桌面设备运维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0"/>
            </w:pPr>
            <w:r>
              <w:rPr>
                <w:rFonts w:ascii="仿宋_GB2312" w:hAnsi="仿宋_GB2312" w:cs="仿宋_GB2312" w:eastAsia="仿宋_GB2312"/>
                <w:sz w:val="48"/>
                <w:b/>
              </w:rPr>
              <w:t>一、项目概况</w:t>
            </w:r>
          </w:p>
          <w:p>
            <w:pPr>
              <w:pStyle w:val="null3"/>
              <w:ind w:firstLine="560"/>
            </w:pPr>
            <w:r>
              <w:rPr>
                <w:rFonts w:ascii="仿宋_GB2312" w:hAnsi="仿宋_GB2312" w:cs="仿宋_GB2312" w:eastAsia="仿宋_GB2312"/>
              </w:rPr>
              <w:t>为保障西安市不动产登记所使用计算机（含外设）和应用软件正常使用，保证对内对外信息网络通畅，确保相关工作平稳运行，需要有专业技术能力及服务经验的运维服务供应商来承担不动产登记大厅的硬件设备和软件支撑系统等维护工作。</w:t>
            </w:r>
          </w:p>
          <w:p>
            <w:pPr>
              <w:pStyle w:val="null3"/>
              <w:jc w:val="both"/>
              <w:outlineLvl w:val="0"/>
            </w:pPr>
            <w:r>
              <w:rPr>
                <w:rFonts w:ascii="仿宋_GB2312" w:hAnsi="仿宋_GB2312" w:cs="仿宋_GB2312" w:eastAsia="仿宋_GB2312"/>
                <w:sz w:val="48"/>
                <w:b/>
              </w:rPr>
              <w:t>二、服务范围</w:t>
            </w:r>
          </w:p>
          <w:p>
            <w:pPr>
              <w:pStyle w:val="null3"/>
              <w:ind w:firstLine="560"/>
            </w:pPr>
            <w:r>
              <w:rPr>
                <w:rFonts w:ascii="仿宋_GB2312" w:hAnsi="仿宋_GB2312" w:cs="仿宋_GB2312" w:eastAsia="仿宋_GB2312"/>
              </w:rPr>
              <w:t>服务内容包括市不动产国金大厅、朱雀大厅、香米园大厅、浐灞大厅、西大街大厅、米家崖大厅及灞桥区市民中心的所有不动产终端、外设、大厅设备运行维护服务和数据处理、信息采集等工作（硬件设备质保维修服务仅涉及市不动产信息档案管理中心终端及大厅相关固定资产）；国金大厅、朱雀大厅交换机房环境监测、运行维护服务；配合平台开发单位和其他运维单位工作，保证不动产系统正常运行的其他临时性工作。</w:t>
            </w:r>
          </w:p>
          <w:p>
            <w:pPr>
              <w:pStyle w:val="null3"/>
              <w:jc w:val="center"/>
            </w:pPr>
            <w:r>
              <w:rPr>
                <w:rFonts w:ascii="仿宋_GB2312" w:hAnsi="仿宋_GB2312" w:cs="仿宋_GB2312" w:eastAsia="仿宋_GB2312"/>
                <w:b/>
              </w:rPr>
              <w:t>各服务大厅设备统计表</w:t>
            </w:r>
          </w:p>
          <w:tbl>
            <w:tblPr>
              <w:tblBorders>
                <w:top w:val="none" w:color="000000" w:sz="4"/>
                <w:left w:val="none" w:color="000000" w:sz="4"/>
                <w:bottom w:val="none" w:color="000000" w:sz="4"/>
                <w:right w:val="none" w:color="000000" w:sz="4"/>
                <w:insideH w:val="none"/>
                <w:insideV w:val="none"/>
              </w:tblBorders>
            </w:tblPr>
            <w:tblGrid>
              <w:gridCol w:w="433"/>
              <w:gridCol w:w="699"/>
              <w:gridCol w:w="370"/>
              <w:gridCol w:w="23"/>
              <w:gridCol w:w="347"/>
              <w:gridCol w:w="658"/>
            </w:tblGrid>
            <w:tr>
              <w:tc>
                <w:tcPr>
                  <w:tcW w:type="dxa" w:w="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服务项目</w:t>
                  </w:r>
                </w:p>
              </w:tc>
              <w:tc>
                <w:tcPr>
                  <w:tcW w:type="dxa" w:w="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设备名称</w:t>
                  </w:r>
                </w:p>
              </w:tc>
              <w:tc>
                <w:tcPr>
                  <w:tcW w:type="dxa" w:w="39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数量</w:t>
                  </w:r>
                </w:p>
              </w:tc>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单位</w:t>
                  </w:r>
                </w:p>
              </w:tc>
              <w:tc>
                <w:tcPr>
                  <w:tcW w:type="dxa" w:w="6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说明</w:t>
                  </w:r>
                </w:p>
              </w:tc>
            </w:tr>
            <w:tr>
              <w:tc>
                <w:tcPr>
                  <w:tcW w:type="dxa" w:w="253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b/>
                    </w:rPr>
                    <w:t>西大街服务大厅设备统计</w:t>
                  </w: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终端设备</w:t>
                  </w:r>
                </w:p>
              </w:tc>
              <w:tc>
                <w:tcPr>
                  <w:tcW w:type="dxa" w:w="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计算机</w:t>
                  </w:r>
                </w:p>
              </w:tc>
              <w:tc>
                <w:tcPr>
                  <w:tcW w:type="dxa" w:w="39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2</w:t>
                  </w:r>
                </w:p>
              </w:tc>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color w:val="000000"/>
                    </w:rPr>
                    <w:t>台</w:t>
                  </w:r>
                </w:p>
              </w:tc>
              <w:tc>
                <w:tcPr>
                  <w:tcW w:type="dxa" w:w="6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打印机</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4</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color w:val="000000"/>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扫描仪</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color w:val="000000"/>
                    </w:rPr>
                    <w:t>14</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color w:val="000000"/>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复印机</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2</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color w:val="000000"/>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摄像头</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13</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执法记录仪</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3</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身份识别仪</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14</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取号器</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2</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呼叫器</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13</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评价器</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9</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窗口屏</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13</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高拍仪</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2</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自助查询机</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19"/>
                    </w:rPr>
                    <w:t>5</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机房设备</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交换机</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19"/>
                    </w:rPr>
                    <w:t>11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网络点位</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综合布线维（信息点及线路，96个信息点位线路维护）</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96</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个</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政务内网6个点，政务外网88个点，与住建购审共用2个点。</w:t>
                  </w:r>
                </w:p>
              </w:tc>
            </w:tr>
            <w:tr>
              <w:tc>
                <w:tcPr>
                  <w:tcW w:type="dxa" w:w="253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b/>
                    </w:rPr>
                    <w:t>香米园服务大厅设备统计</w:t>
                  </w: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终端设备</w:t>
                  </w:r>
                </w:p>
              </w:tc>
              <w:tc>
                <w:tcPr>
                  <w:tcW w:type="dxa" w:w="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计算机</w:t>
                  </w:r>
                </w:p>
              </w:tc>
              <w:tc>
                <w:tcPr>
                  <w:tcW w:type="dxa" w:w="39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49</w:t>
                  </w:r>
                </w:p>
              </w:tc>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台</w:t>
                  </w:r>
                </w:p>
              </w:tc>
              <w:tc>
                <w:tcPr>
                  <w:tcW w:type="dxa" w:w="6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打印机</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27</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扫描仪</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机房设备</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交换机</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18</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防火墙</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精密空调</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UPS电源</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系统</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动环系统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套</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网络点位</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综合布线维（信息点及线路，160个信息点位线路维护）</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160</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个</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政务内网81个点，政务外网40个点，与测量共用39个点。</w:t>
                  </w:r>
                </w:p>
              </w:tc>
            </w:tr>
            <w:tr>
              <w:tc>
                <w:tcPr>
                  <w:tcW w:type="dxa" w:w="253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b/>
                    </w:rPr>
                    <w:t>国金中心服务大厅设备统计</w:t>
                  </w: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终端设备</w:t>
                  </w:r>
                </w:p>
              </w:tc>
              <w:tc>
                <w:tcPr>
                  <w:tcW w:type="dxa" w:w="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计算机</w:t>
                  </w:r>
                </w:p>
              </w:tc>
              <w:tc>
                <w:tcPr>
                  <w:tcW w:type="dxa" w:w="39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83</w:t>
                  </w:r>
                </w:p>
              </w:tc>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打印机</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69</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扫描仪</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36</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摄像头</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22</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高拍仪</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2</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身份识别仪</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22</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执法记录仪</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17</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p>
                  <w:pPr>
                    <w:pStyle w:val="null3"/>
                    <w:ind w:firstLine="480"/>
                  </w:pPr>
                  <w:r>
                    <w:rPr>
                      <w:rFonts w:ascii="仿宋_GB2312" w:hAnsi="仿宋_GB2312" w:cs="仿宋_GB2312" w:eastAsia="仿宋_GB2312"/>
                      <w:sz w:val="19"/>
                    </w:rPr>
                    <w:t xml:space="preserve"> </w:t>
                  </w:r>
                </w:p>
                <w:p>
                  <w:pPr>
                    <w:pStyle w:val="null3"/>
                    <w:ind w:firstLine="480"/>
                  </w:pPr>
                  <w:r>
                    <w:rPr>
                      <w:rFonts w:ascii="仿宋_GB2312" w:hAnsi="仿宋_GB2312" w:cs="仿宋_GB2312" w:eastAsia="仿宋_GB2312"/>
                      <w:sz w:val="19"/>
                    </w:rPr>
                    <w:t xml:space="preserve"> </w:t>
                  </w:r>
                </w:p>
                <w:p>
                  <w:pPr>
                    <w:pStyle w:val="null3"/>
                    <w:ind w:firstLine="480"/>
                  </w:pPr>
                  <w:r>
                    <w:rPr>
                      <w:rFonts w:ascii="仿宋_GB2312" w:hAnsi="仿宋_GB2312" w:cs="仿宋_GB2312" w:eastAsia="仿宋_GB2312"/>
                      <w:sz w:val="19"/>
                    </w:rPr>
                    <w:t xml:space="preserve">  </w:t>
                  </w:r>
                </w:p>
                <w:p>
                  <w:pPr>
                    <w:pStyle w:val="null3"/>
                    <w:ind w:firstLine="480"/>
                  </w:pPr>
                  <w:r>
                    <w:rPr>
                      <w:rFonts w:ascii="仿宋_GB2312" w:hAnsi="仿宋_GB2312" w:cs="仿宋_GB2312" w:eastAsia="仿宋_GB2312"/>
                      <w:sz w:val="19"/>
                    </w:rPr>
                    <w:t xml:space="preserve"> </w:t>
                  </w:r>
                </w:p>
                <w:p>
                  <w:pPr>
                    <w:pStyle w:val="null3"/>
                    <w:ind w:firstLine="480"/>
                  </w:pPr>
                  <w:r>
                    <w:rPr>
                      <w:rFonts w:ascii="仿宋_GB2312" w:hAnsi="仿宋_GB2312" w:cs="仿宋_GB2312" w:eastAsia="仿宋_GB2312"/>
                      <w:sz w:val="19"/>
                    </w:rPr>
                    <w:t xml:space="preserve"> </w:t>
                  </w:r>
                </w:p>
                <w:p>
                  <w:pPr>
                    <w:pStyle w:val="null3"/>
                    <w:ind w:firstLine="480"/>
                  </w:pPr>
                  <w:r>
                    <w:rPr>
                      <w:rFonts w:ascii="仿宋_GB2312" w:hAnsi="仿宋_GB2312" w:cs="仿宋_GB2312" w:eastAsia="仿宋_GB2312"/>
                      <w:sz w:val="19"/>
                    </w:rPr>
                    <w:t xml:space="preserve"> </w:t>
                  </w:r>
                </w:p>
                <w:p>
                  <w:pPr>
                    <w:pStyle w:val="null3"/>
                    <w:ind w:firstLine="480"/>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大厅设备</w:t>
                  </w:r>
                </w:p>
                <w:p>
                  <w:pPr>
                    <w:pStyle w:val="null3"/>
                    <w:ind w:firstLine="480"/>
                  </w:pPr>
                  <w:r>
                    <w:rPr>
                      <w:rFonts w:ascii="仿宋_GB2312" w:hAnsi="仿宋_GB2312" w:cs="仿宋_GB2312" w:eastAsia="仿宋_GB2312"/>
                      <w:sz w:val="19"/>
                    </w:rPr>
                    <w:t xml:space="preserve"> </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室内LED全P2.5</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3</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块</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窗口电子屏</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26</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块</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广告屏</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0</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电视显示屏</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19</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排队叫号系统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取号机3台、无线喇叭15个、无线AP3个</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监控系统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120个监控点位</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呼叫器维保及服务</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27</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个</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评价器维保及服务</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16</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个</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综合布线维保（信息点及线路，408个信息点位线路维护）</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468</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个</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交换机房设备</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内网系统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内网交换机1台，防火墙1台</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外网系统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外网交换机2台，服务器1台，防火墙1台</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房管网系统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交换机3台，核心交换1台，防火墙1台</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互联网系统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网关路由设备1台，H3C AC控制器1台，无线AP22个</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数据交换机</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16</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监控系统</w:t>
                  </w:r>
                </w:p>
                <w:p>
                  <w:pPr>
                    <w:pStyle w:val="null3"/>
                    <w:ind w:firstLine="480"/>
                  </w:pPr>
                  <w:r>
                    <w:rPr>
                      <w:rFonts w:ascii="仿宋_GB2312" w:hAnsi="仿宋_GB2312" w:cs="仿宋_GB2312" w:eastAsia="仿宋_GB2312"/>
                      <w:sz w:val="19"/>
                    </w:rPr>
                    <w:t xml:space="preserve"> </w:t>
                  </w:r>
                </w:p>
                <w:p>
                  <w:pPr>
                    <w:pStyle w:val="null3"/>
                    <w:ind w:firstLine="480"/>
                  </w:pPr>
                  <w:r>
                    <w:rPr>
                      <w:rFonts w:ascii="仿宋_GB2312" w:hAnsi="仿宋_GB2312" w:cs="仿宋_GB2312" w:eastAsia="仿宋_GB2312"/>
                      <w:sz w:val="19"/>
                    </w:rPr>
                    <w:t xml:space="preserve"> </w:t>
                  </w:r>
                </w:p>
                <w:p>
                  <w:pPr>
                    <w:pStyle w:val="null3"/>
                    <w:ind w:firstLine="480"/>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硬盘录像机2台、4T硬盘16块、42寸显示器1个、接入交换机8台、核心交换机1台</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电话语音系统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语音程控交换机1台，语音交换机2台，42寸显示器1个，电脑主机一台</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供电系统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包含精密配电UPS一体柜及电池16节</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精密空调系统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包含精密空调、运维室空调、室外机</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防雷系统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消防系统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动环系统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253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b/>
                    </w:rPr>
                    <w:t>朱雀云天服务大厅设备统计</w:t>
                  </w: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终端设备</w:t>
                  </w:r>
                </w:p>
              </w:tc>
              <w:tc>
                <w:tcPr>
                  <w:tcW w:type="dxa" w:w="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计算机</w:t>
                  </w:r>
                </w:p>
              </w:tc>
              <w:tc>
                <w:tcPr>
                  <w:tcW w:type="dxa" w:w="39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236</w:t>
                  </w:r>
                </w:p>
              </w:tc>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打印机</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19"/>
                    </w:rPr>
                    <w:t>167</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扫描仪</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89</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复印机</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4</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摄像头</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32</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高拍仪</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2</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执法记录仪</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33</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身份识别仪</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27</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电视显示屏</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9</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叫号器</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3</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大厅设备</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排队叫号设备</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取号机3台、LED控制卡15个、无线AP 5个，无线喇叭10个等</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显示终端维保</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18</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块</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窗口电子屏</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86</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块</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监控系统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呼叫器维保及服务</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62</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个</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评价器维保及服务</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38</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个</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综合布线维保（信息点及线路，2200个信息点位线路维护）</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交换机房设备</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内网系统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内网系统（包含内网交换机1台、防火墙1台）</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外网系统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外网系统（包含内网交换机18台、防火墙1台）</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房管网系统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房管网系统（包含内网交换机15台、防火墙1台）</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互联网系统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互联网系统（包含内网交换机5台、防火墙1台）</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电视</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2</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病毒服务器</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数据交换机</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10</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AP交换机2台、门禁交换机1台、光纤交换机1台</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监控系统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监控录像机1台，监控交换机3台</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供电系统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供电系统1套（包含精密配电UPS一体柜及电池32节）</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排队叫号系统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交换机2台</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精密空调系统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包含精密空调、运维室空调、室外机</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防雷系统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消防系统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动环系统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253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b/>
                    </w:rPr>
                    <w:t>浐灞服务大厅设备统计</w:t>
                  </w: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终端设备</w:t>
                  </w:r>
                </w:p>
              </w:tc>
              <w:tc>
                <w:tcPr>
                  <w:tcW w:type="dxa" w:w="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计算机</w:t>
                  </w:r>
                </w:p>
              </w:tc>
              <w:tc>
                <w:tcPr>
                  <w:tcW w:type="dxa" w:w="39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151</w:t>
                  </w:r>
                </w:p>
              </w:tc>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打印机</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84</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复印机</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 xml:space="preserve">   3</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扫描仪</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 xml:space="preserve">  13</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摄像头</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12</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高拍仪</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7</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自助查询机</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2</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大厅设备</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排队叫号设备</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包含取号机1台、LED控制卡14个、无线AP 1个，无线喇叭3个等</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显示终端维保</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3</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块</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信息屏</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3</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个</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触摸屏</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广告屏</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2</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窗口电子屏</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12</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块</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监控系统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套</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呼叫器维保及服务</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12</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个</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评价器维保及服务</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6</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个</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2530"/>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19"/>
                      <w:b/>
                    </w:rPr>
                    <w:t>灞桥区市民中心设备统计</w:t>
                  </w: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大厅设备</w:t>
                  </w:r>
                </w:p>
              </w:tc>
              <w:tc>
                <w:tcPr>
                  <w:tcW w:type="dxa" w:w="6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计算机</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37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台</w:t>
                  </w:r>
                </w:p>
              </w:tc>
              <w:tc>
                <w:tcPr>
                  <w:tcW w:type="dxa" w:w="6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打印机</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扫描仪</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个</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摄像头</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个</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针式打印机</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个</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评价器</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个</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高拍仪</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个</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身份证识别仪</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个</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253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米家崖大厅设备统计</w:t>
                  </w: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大厅设备</w:t>
                  </w:r>
                </w:p>
              </w:tc>
              <w:tc>
                <w:tcPr>
                  <w:tcW w:type="dxa" w:w="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计算机</w:t>
                  </w:r>
                </w:p>
              </w:tc>
              <w:tc>
                <w:tcPr>
                  <w:tcW w:type="dxa" w:w="3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37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台</w:t>
                  </w:r>
                </w:p>
              </w:tc>
              <w:tc>
                <w:tcPr>
                  <w:tcW w:type="dxa" w:w="6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打印机</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扫描仪</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摄像头</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个</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高拍仪</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个</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评价器</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个</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身份证识别仪</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个</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bl>
          <w:p>
            <w:pPr>
              <w:pStyle w:val="null3"/>
              <w:ind w:firstLine="480"/>
              <w:jc w:val="both"/>
            </w:pPr>
            <w:r>
              <w:rPr>
                <w:rFonts w:ascii="仿宋_GB2312" w:hAnsi="仿宋_GB2312" w:cs="仿宋_GB2312" w:eastAsia="仿宋_GB2312"/>
              </w:rPr>
              <w:t xml:space="preserve"> </w:t>
            </w:r>
          </w:p>
          <w:p>
            <w:pPr>
              <w:pStyle w:val="null3"/>
              <w:jc w:val="both"/>
              <w:outlineLvl w:val="0"/>
            </w:pPr>
            <w:r>
              <w:rPr>
                <w:rFonts w:ascii="仿宋_GB2312" w:hAnsi="仿宋_GB2312" w:cs="仿宋_GB2312" w:eastAsia="仿宋_GB2312"/>
                <w:sz w:val="48"/>
                <w:b/>
              </w:rPr>
              <w:t>三、服务内容</w:t>
            </w:r>
          </w:p>
          <w:p>
            <w:pPr>
              <w:pStyle w:val="null3"/>
              <w:ind w:firstLine="560"/>
              <w:jc w:val="both"/>
            </w:pPr>
            <w:r>
              <w:rPr>
                <w:rFonts w:ascii="仿宋_GB2312" w:hAnsi="仿宋_GB2312" w:cs="仿宋_GB2312" w:eastAsia="仿宋_GB2312"/>
              </w:rPr>
              <w:t>（一）故障恢复类</w:t>
            </w:r>
          </w:p>
          <w:p>
            <w:pPr>
              <w:pStyle w:val="null3"/>
              <w:ind w:firstLine="560"/>
            </w:pPr>
            <w:r>
              <w:rPr>
                <w:rFonts w:ascii="仿宋_GB2312" w:hAnsi="仿宋_GB2312" w:cs="仿宋_GB2312" w:eastAsia="仿宋_GB2312"/>
              </w:rPr>
              <w:t>1、7×24小时响应支持</w:t>
            </w:r>
          </w:p>
          <w:p>
            <w:pPr>
              <w:pStyle w:val="null3"/>
              <w:ind w:firstLine="560"/>
            </w:pPr>
            <w:r>
              <w:rPr>
                <w:rFonts w:ascii="仿宋_GB2312" w:hAnsi="仿宋_GB2312" w:cs="仿宋_GB2312" w:eastAsia="仿宋_GB2312"/>
              </w:rPr>
              <w:t>服务商的技术支持人员和故障保修热线以及项目经理、项目协调人员和一线工程师手机全天候开通，为用户提供7×24小时电话技术支持。支持范围包括产品的功能、配置、安装、调试、客户化以及使用中遇到的各种技术问题的一般性咨询，并随时准备处理各种突发事件。</w:t>
            </w:r>
          </w:p>
          <w:p>
            <w:pPr>
              <w:pStyle w:val="null3"/>
              <w:ind w:firstLine="560"/>
            </w:pPr>
            <w:r>
              <w:rPr>
                <w:rFonts w:ascii="仿宋_GB2312" w:hAnsi="仿宋_GB2312" w:cs="仿宋_GB2312" w:eastAsia="仿宋_GB2312"/>
              </w:rPr>
              <w:t>2、故障解决服务</w:t>
            </w:r>
          </w:p>
          <w:p>
            <w:pPr>
              <w:pStyle w:val="null3"/>
              <w:ind w:firstLine="560"/>
            </w:pPr>
            <w:r>
              <w:rPr>
                <w:rFonts w:ascii="仿宋_GB2312" w:hAnsi="仿宋_GB2312" w:cs="仿宋_GB2312" w:eastAsia="仿宋_GB2312"/>
              </w:rPr>
              <w:t>服务商提供硬件的故障诊断支持服务，在故障发生后，在最短时间判断出故障的原因，然后进行有针对性的维修，可缩短故障修复时间，缩短业务中断时间。</w:t>
            </w:r>
          </w:p>
          <w:p>
            <w:pPr>
              <w:pStyle w:val="null3"/>
              <w:ind w:firstLine="560"/>
              <w:jc w:val="both"/>
            </w:pPr>
            <w:r>
              <w:rPr>
                <w:rFonts w:ascii="仿宋_GB2312" w:hAnsi="仿宋_GB2312" w:cs="仿宋_GB2312" w:eastAsia="仿宋_GB2312"/>
              </w:rPr>
              <w:t>（二）技术服务类</w:t>
            </w:r>
          </w:p>
          <w:p>
            <w:pPr>
              <w:pStyle w:val="null3"/>
              <w:ind w:firstLine="560"/>
            </w:pPr>
            <w:r>
              <w:rPr>
                <w:rFonts w:ascii="仿宋_GB2312" w:hAnsi="仿宋_GB2312" w:cs="仿宋_GB2312" w:eastAsia="仿宋_GB2312"/>
              </w:rPr>
              <w:t>1、管理制度梳理</w:t>
            </w:r>
          </w:p>
          <w:p>
            <w:pPr>
              <w:pStyle w:val="null3"/>
              <w:ind w:firstLine="560"/>
            </w:pPr>
            <w:r>
              <w:rPr>
                <w:rFonts w:ascii="仿宋_GB2312" w:hAnsi="仿宋_GB2312" w:cs="仿宋_GB2312" w:eastAsia="仿宋_GB2312"/>
              </w:rPr>
              <w:t>服务商需与采购人沟通，人员入场前针对各系统制定管理计划与管理制度。管理计划分阶段进行优化，在每次定期汇报交流后修改管理计划，形成下一阶段的管理计划，使管理计划与时俱进，更符合系统当前的需求。</w:t>
            </w:r>
          </w:p>
          <w:p>
            <w:pPr>
              <w:pStyle w:val="null3"/>
              <w:ind w:firstLine="560"/>
              <w:jc w:val="both"/>
            </w:pPr>
            <w:r>
              <w:rPr>
                <w:rFonts w:ascii="仿宋_GB2312" w:hAnsi="仿宋_GB2312" w:cs="仿宋_GB2312" w:eastAsia="仿宋_GB2312"/>
              </w:rPr>
              <w:t>2、资产配置建档服务</w:t>
            </w:r>
          </w:p>
          <w:p>
            <w:pPr>
              <w:pStyle w:val="null3"/>
              <w:ind w:firstLine="560"/>
            </w:pPr>
            <w:r>
              <w:rPr>
                <w:rFonts w:ascii="仿宋_GB2312" w:hAnsi="仿宋_GB2312" w:cs="仿宋_GB2312" w:eastAsia="仿宋_GB2312"/>
              </w:rPr>
              <w:t>服务商需向西安市不动产登记局提交详细的系统硬件维护服务档案，内容含有系统配置（包括硬件配置、系统配置、磁盘阵列等）、双方人员信息、系统维护记录等信息。并根据需方的实际需要，制定详细的服务支持计划，随时更新软硬件系统信息。并根据调研设备的运行记录进行评估。</w:t>
            </w:r>
          </w:p>
          <w:p>
            <w:pPr>
              <w:pStyle w:val="null3"/>
              <w:ind w:firstLine="560"/>
              <w:jc w:val="both"/>
            </w:pPr>
            <w:r>
              <w:rPr>
                <w:rFonts w:ascii="仿宋_GB2312" w:hAnsi="仿宋_GB2312" w:cs="仿宋_GB2312" w:eastAsia="仿宋_GB2312"/>
              </w:rPr>
              <w:t>3、定期巡检</w:t>
            </w:r>
          </w:p>
          <w:p>
            <w:pPr>
              <w:pStyle w:val="null3"/>
              <w:ind w:firstLine="560"/>
              <w:jc w:val="both"/>
            </w:pPr>
            <w:r>
              <w:rPr>
                <w:rFonts w:ascii="仿宋_GB2312" w:hAnsi="仿宋_GB2312" w:cs="仿宋_GB2312" w:eastAsia="仿宋_GB2312"/>
              </w:rPr>
              <w:t>服务商需安排工程师在工作日内对大厅设备运行状态进行每日检查，对大厅工作人员提出的需求及时响应。每月进行大厅设备、机房现场进行定期的例行巡检和预防性维护，对故障情况进行汇总，向采购人提交月度运维服务报告，并提出改进意见和建议。工程师定期对服务范围内的硬件和操作系统、性能、终端杀毒情况、终端补丁安装情况进行诊断，分析系统运行情况，查看系统日志，根据结果调整系统参数，使系统始终在良好状态下运行。对可能出现的问题提供科学预测，提供预防整改措施，在授权的情况下采取必要的预防和补救措施，防患于未然。</w:t>
            </w:r>
          </w:p>
          <w:p>
            <w:pPr>
              <w:pStyle w:val="null3"/>
              <w:ind w:firstLine="560"/>
              <w:jc w:val="both"/>
            </w:pPr>
            <w:r>
              <w:rPr>
                <w:rFonts w:ascii="仿宋_GB2312" w:hAnsi="仿宋_GB2312" w:cs="仿宋_GB2312" w:eastAsia="仿宋_GB2312"/>
              </w:rPr>
              <w:t>（三）专业化服务</w:t>
            </w:r>
          </w:p>
          <w:p>
            <w:pPr>
              <w:pStyle w:val="null3"/>
              <w:ind w:firstLine="560"/>
              <w:jc w:val="both"/>
            </w:pPr>
            <w:r>
              <w:rPr>
                <w:rFonts w:ascii="仿宋_GB2312" w:hAnsi="仿宋_GB2312" w:cs="仿宋_GB2312" w:eastAsia="仿宋_GB2312"/>
              </w:rPr>
              <w:t>服务内容主要包括：</w:t>
            </w:r>
          </w:p>
          <w:p>
            <w:pPr>
              <w:pStyle w:val="null3"/>
              <w:ind w:firstLine="560"/>
              <w:jc w:val="both"/>
            </w:pPr>
            <w:r>
              <w:rPr>
                <w:rFonts w:ascii="仿宋_GB2312" w:hAnsi="仿宋_GB2312" w:cs="仿宋_GB2312" w:eastAsia="仿宋_GB2312"/>
              </w:rPr>
              <w:t>1、硬件损坏的检测维护</w:t>
            </w:r>
          </w:p>
          <w:p>
            <w:pPr>
              <w:pStyle w:val="null3"/>
              <w:ind w:firstLine="560"/>
              <w:jc w:val="both"/>
            </w:pPr>
            <w:r>
              <w:rPr>
                <w:rFonts w:ascii="仿宋_GB2312" w:hAnsi="仿宋_GB2312" w:cs="仿宋_GB2312" w:eastAsia="仿宋_GB2312"/>
              </w:rPr>
              <w:t>2、业务系统故障的初步分析与协调</w:t>
            </w:r>
          </w:p>
          <w:p>
            <w:pPr>
              <w:pStyle w:val="null3"/>
              <w:ind w:firstLine="560"/>
              <w:jc w:val="both"/>
            </w:pPr>
            <w:r>
              <w:rPr>
                <w:rFonts w:ascii="仿宋_GB2312" w:hAnsi="仿宋_GB2312" w:cs="仿宋_GB2312" w:eastAsia="仿宋_GB2312"/>
              </w:rPr>
              <w:t>3、各大厅不动产系统BUG、需求、权限分配、数据处理等业务相关问题的采集</w:t>
            </w:r>
          </w:p>
          <w:p>
            <w:pPr>
              <w:pStyle w:val="null3"/>
              <w:ind w:firstLine="560"/>
              <w:jc w:val="both"/>
            </w:pPr>
            <w:r>
              <w:rPr>
                <w:rFonts w:ascii="仿宋_GB2312" w:hAnsi="仿宋_GB2312" w:cs="仿宋_GB2312" w:eastAsia="仿宋_GB2312"/>
              </w:rPr>
              <w:t>4、病毒防范和消除</w:t>
            </w:r>
          </w:p>
          <w:p>
            <w:pPr>
              <w:pStyle w:val="null3"/>
              <w:ind w:firstLine="560"/>
              <w:jc w:val="both"/>
            </w:pPr>
            <w:r>
              <w:rPr>
                <w:rFonts w:ascii="仿宋_GB2312" w:hAnsi="仿宋_GB2312" w:cs="仿宋_GB2312" w:eastAsia="仿宋_GB2312"/>
              </w:rPr>
              <w:t>5、硬盘垃圾清理</w:t>
            </w:r>
          </w:p>
          <w:p>
            <w:pPr>
              <w:pStyle w:val="null3"/>
              <w:ind w:firstLine="560"/>
              <w:jc w:val="both"/>
            </w:pPr>
            <w:r>
              <w:rPr>
                <w:rFonts w:ascii="仿宋_GB2312" w:hAnsi="仿宋_GB2312" w:cs="仿宋_GB2312" w:eastAsia="仿宋_GB2312"/>
              </w:rPr>
              <w:t>6、软件故障排除和恢复</w:t>
            </w:r>
          </w:p>
          <w:p>
            <w:pPr>
              <w:pStyle w:val="null3"/>
              <w:ind w:firstLine="560"/>
              <w:jc w:val="both"/>
            </w:pPr>
            <w:r>
              <w:rPr>
                <w:rFonts w:ascii="仿宋_GB2312" w:hAnsi="仿宋_GB2312" w:cs="仿宋_GB2312" w:eastAsia="仿宋_GB2312"/>
              </w:rPr>
              <w:t>7、系统软件，硬件升级</w:t>
            </w:r>
          </w:p>
          <w:p>
            <w:pPr>
              <w:pStyle w:val="null3"/>
              <w:ind w:firstLine="560"/>
              <w:jc w:val="both"/>
            </w:pPr>
            <w:r>
              <w:rPr>
                <w:rFonts w:ascii="仿宋_GB2312" w:hAnsi="仿宋_GB2312" w:cs="仿宋_GB2312" w:eastAsia="仿宋_GB2312"/>
              </w:rPr>
              <w:t>8、系统数据备份恢复</w:t>
            </w:r>
          </w:p>
          <w:p>
            <w:pPr>
              <w:pStyle w:val="null3"/>
              <w:ind w:firstLine="560"/>
              <w:jc w:val="both"/>
            </w:pPr>
            <w:r>
              <w:rPr>
                <w:rFonts w:ascii="仿宋_GB2312" w:hAnsi="仿宋_GB2312" w:cs="仿宋_GB2312" w:eastAsia="仿宋_GB2312"/>
              </w:rPr>
              <w:t>9、电脑安装调试</w:t>
            </w:r>
          </w:p>
          <w:p>
            <w:pPr>
              <w:pStyle w:val="null3"/>
              <w:ind w:firstLine="560"/>
              <w:jc w:val="both"/>
            </w:pPr>
            <w:r>
              <w:rPr>
                <w:rFonts w:ascii="仿宋_GB2312" w:hAnsi="仿宋_GB2312" w:cs="仿宋_GB2312" w:eastAsia="仿宋_GB2312"/>
              </w:rPr>
              <w:t>10、系统安装调试</w:t>
            </w:r>
          </w:p>
          <w:p>
            <w:pPr>
              <w:pStyle w:val="null3"/>
              <w:ind w:firstLine="560"/>
              <w:jc w:val="both"/>
            </w:pPr>
            <w:r>
              <w:rPr>
                <w:rFonts w:ascii="仿宋_GB2312" w:hAnsi="仿宋_GB2312" w:cs="仿宋_GB2312" w:eastAsia="仿宋_GB2312"/>
              </w:rPr>
              <w:t>11、局域网维护</w:t>
            </w:r>
          </w:p>
          <w:p>
            <w:pPr>
              <w:pStyle w:val="null3"/>
              <w:ind w:firstLine="560"/>
              <w:jc w:val="both"/>
            </w:pPr>
            <w:r>
              <w:rPr>
                <w:rFonts w:ascii="仿宋_GB2312" w:hAnsi="仿宋_GB2312" w:cs="仿宋_GB2312" w:eastAsia="仿宋_GB2312"/>
              </w:rPr>
              <w:t>12、上网解决方案</w:t>
            </w:r>
          </w:p>
          <w:p>
            <w:pPr>
              <w:pStyle w:val="null3"/>
              <w:ind w:firstLine="560"/>
              <w:jc w:val="both"/>
            </w:pPr>
            <w:r>
              <w:rPr>
                <w:rFonts w:ascii="仿宋_GB2312" w:hAnsi="仿宋_GB2312" w:cs="仿宋_GB2312" w:eastAsia="仿宋_GB2312"/>
              </w:rPr>
              <w:t>13、桌面设备维护</w:t>
            </w:r>
          </w:p>
          <w:p>
            <w:pPr>
              <w:pStyle w:val="null3"/>
              <w:ind w:firstLine="560"/>
              <w:jc w:val="both"/>
            </w:pPr>
            <w:r>
              <w:rPr>
                <w:rFonts w:ascii="仿宋_GB2312" w:hAnsi="仿宋_GB2312" w:cs="仿宋_GB2312" w:eastAsia="仿宋_GB2312"/>
              </w:rPr>
              <w:t>14、网络交换设备维护</w:t>
            </w:r>
          </w:p>
          <w:p>
            <w:pPr>
              <w:pStyle w:val="null3"/>
              <w:ind w:firstLine="560"/>
              <w:jc w:val="both"/>
            </w:pPr>
            <w:r>
              <w:rPr>
                <w:rFonts w:ascii="仿宋_GB2312" w:hAnsi="仿宋_GB2312" w:cs="仿宋_GB2312" w:eastAsia="仿宋_GB2312"/>
              </w:rPr>
              <w:t>15、综合布线维护</w:t>
            </w:r>
          </w:p>
          <w:p>
            <w:pPr>
              <w:pStyle w:val="null3"/>
              <w:ind w:firstLine="560"/>
              <w:jc w:val="both"/>
            </w:pPr>
            <w:r>
              <w:rPr>
                <w:rFonts w:ascii="仿宋_GB2312" w:hAnsi="仿宋_GB2312" w:cs="仿宋_GB2312" w:eastAsia="仿宋_GB2312"/>
              </w:rPr>
              <w:t>16、机房设备维护</w:t>
            </w:r>
          </w:p>
          <w:p>
            <w:pPr>
              <w:pStyle w:val="null3"/>
              <w:ind w:firstLine="560"/>
              <w:jc w:val="both"/>
            </w:pPr>
            <w:r>
              <w:rPr>
                <w:rFonts w:ascii="仿宋_GB2312" w:hAnsi="仿宋_GB2312" w:cs="仿宋_GB2312" w:eastAsia="仿宋_GB2312"/>
              </w:rPr>
              <w:t>17、保障业务正常运行的其他问题</w:t>
            </w:r>
          </w:p>
          <w:p>
            <w:pPr>
              <w:pStyle w:val="null3"/>
              <w:jc w:val="both"/>
              <w:outlineLvl w:val="0"/>
            </w:pPr>
            <w:r>
              <w:rPr>
                <w:rFonts w:ascii="仿宋_GB2312" w:hAnsi="仿宋_GB2312" w:cs="仿宋_GB2312" w:eastAsia="仿宋_GB2312"/>
                <w:sz w:val="48"/>
                <w:b/>
              </w:rPr>
              <w:t>四、服务要求</w:t>
            </w:r>
          </w:p>
          <w:p>
            <w:pPr>
              <w:pStyle w:val="null3"/>
              <w:ind w:firstLine="560"/>
              <w:jc w:val="both"/>
            </w:pPr>
            <w:r>
              <w:rPr>
                <w:rFonts w:ascii="仿宋_GB2312" w:hAnsi="仿宋_GB2312" w:cs="仿宋_GB2312" w:eastAsia="仿宋_GB2312"/>
              </w:rPr>
              <w:t>服务人数：服务商服务期间需提供常驻服务人员不少于7人作为一线工程师5×8小时（工作日）驻场服务，完成不动产朱雀、国金、西大街、香米园、浐灞、米家崖六个大厅的日常维护和故障解决。</w:t>
            </w:r>
          </w:p>
          <w:p>
            <w:pPr>
              <w:pStyle w:val="null3"/>
              <w:ind w:firstLine="560"/>
              <w:jc w:val="both"/>
            </w:pPr>
            <w:r>
              <w:rPr>
                <w:rFonts w:ascii="仿宋_GB2312" w:hAnsi="仿宋_GB2312" w:cs="仿宋_GB2312" w:eastAsia="仿宋_GB2312"/>
              </w:rPr>
              <w:t>备用服务工程师一人，作为临时顶替人员及负责处理临时性的突发任务。</w:t>
            </w:r>
          </w:p>
          <w:p>
            <w:pPr>
              <w:pStyle w:val="null3"/>
              <w:ind w:firstLine="560"/>
              <w:jc w:val="both"/>
            </w:pPr>
            <w:r>
              <w:rPr>
                <w:rFonts w:ascii="仿宋_GB2312" w:hAnsi="仿宋_GB2312" w:cs="仿宋_GB2312" w:eastAsia="仿宋_GB2312"/>
              </w:rPr>
              <w:t>项目经理一人，负责大厅运维的总体管理、问题处理进度跟进、疑难问题处理等。</w:t>
            </w:r>
          </w:p>
          <w:p>
            <w:pPr>
              <w:pStyle w:val="null3"/>
              <w:ind w:firstLine="560"/>
              <w:jc w:val="both"/>
            </w:pPr>
            <w:r>
              <w:rPr>
                <w:rFonts w:ascii="仿宋_GB2312" w:hAnsi="仿宋_GB2312" w:cs="仿宋_GB2312" w:eastAsia="仿宋_GB2312"/>
              </w:rPr>
              <w:t>运维过程中出现现场工程师无法解决的问题时，服务商需提供二线工程师协助解决，半小时响应，1小时到场，保证大厅业务的运行稳定。</w:t>
            </w:r>
          </w:p>
          <w:p>
            <w:pPr>
              <w:pStyle w:val="null3"/>
              <w:ind w:firstLine="560"/>
              <w:jc w:val="both"/>
            </w:pPr>
            <w:r>
              <w:rPr>
                <w:rFonts w:ascii="仿宋_GB2312" w:hAnsi="仿宋_GB2312" w:cs="仿宋_GB2312" w:eastAsia="仿宋_GB2312"/>
              </w:rPr>
              <w:t>服务商签订合同同时，需与采购人签订该项目保密协议。根据采购人要求，不得将采购人的保密信息泄露。服务商需要向采购人提供驻场人员及项目经理在公安机关开具的无犯罪记录的证明文件。</w:t>
            </w:r>
          </w:p>
          <w:p>
            <w:pPr>
              <w:pStyle w:val="null3"/>
              <w:ind w:firstLine="560"/>
              <w:jc w:val="both"/>
            </w:pPr>
            <w:r>
              <w:rPr>
                <w:rFonts w:ascii="仿宋_GB2312" w:hAnsi="仿宋_GB2312" w:cs="仿宋_GB2312" w:eastAsia="仿宋_GB2312"/>
              </w:rPr>
              <w:t>成交单位不得对服务业务分包或转包。否则采购人有权终止合同，成交单位要承担由此造成的一切经济损失。</w:t>
            </w:r>
          </w:p>
          <w:p>
            <w:pPr>
              <w:pStyle w:val="null3"/>
              <w:ind w:firstLine="560"/>
              <w:jc w:val="both"/>
            </w:pPr>
            <w:r>
              <w:rPr>
                <w:rFonts w:ascii="仿宋_GB2312" w:hAnsi="仿宋_GB2312" w:cs="仿宋_GB2312" w:eastAsia="仿宋_GB2312"/>
              </w:rPr>
              <w:t>成交单位不得在服务期间对项目管理人员进行更换，如遇特殊情况须经采购人同意；采购人发现项目管理人员工作不力时，有权提出更换人员，更换的人员必须及时到场。</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按服务要求合理配置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按服务要求合理配置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按服务要求合理配置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按服务要求合理配置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按服务要求合理配置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按服务要求合理配置</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自合同签订之日起12个月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西安市不动产信息档案管理中心指定地点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西安市不动产信息档案管理中心指定地点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西安市不动产信息档案管理中心指定地点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1、项目验收分合同验收和最终验收（由甲方指定的单位负责组织实施）。 合同验收：完成维护后，由使用单位根据合同进行检查，检查合同建设内容完成情况、合同支付情况、合同规定的各类文档资料收集等工作。 最终验收：由采购方进行终验，包括项目最终验收申请及批复材料、项目承担单位基本情况、项目概况、项目实施总结报告等资料。合格后签发《终验合格单》。 2、验收依据 （1）合同文本及合同补充文件（条款）。 （2）招标文件。 （3）中标人的投标文件。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1、项目验收分合同验收和最终验收（由甲方指定的单位负责组织实施）。 合同验收：完成维护后，由使用单位根据合同进行检查，检查合同建设内容完成情况、合同支付情况、合同规定的各类文档资料收集等工作。 最终验收：由采购方进行终验，包括项目最终验收申请及批复材料、项目承担单位基本情况、项目概况、项目实施总结报告等资料。合格后签发《终验合格单》。 2、验收依据 （1）合同文本及合同补充文件（条款）。 （2）招标文件。 （3）中标人的投标文件。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1、项目验收分合同验收和最终验收（由甲方指定的单位负责组织实施）。 合同验收：完成维护后，由使用单位根据合同进行检查，检查合同建设内容完成情况、合同支付情况、合同规定的各类文档资料收集等工作。 最终验收：由采购方进行终验，包括项目最终验收申请及批复材料、项目承担单位基本情况、项目概况、项目实施总结报告等资料。合格后签发《终验合格单》。 2、验收依据 （1）合同文本及合同补充文件（条款）。 （2）招标文件。 （3）中标人的投标文件。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服务期满并验收合格后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服务期满并验收合格后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 权终止合同，并对供方违约行为进行追究，同时按《中华人民共和国政府采购法》的有关规定进行处罚。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成交人在领成交通知书时须提供纸质响应文件正本一份、副本二份用于存档（纸质文件与电子档文件一致）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供应商需在项目电子化交易系统中按要求上传相应证明文件并进行电子签章。此项审查内容与特定资格条件中的“控股关系查询”为同一审查内容。</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供应商需在项目电子化交易系统中按要求上传相应证明文件并进行电子签章。此项审查内容与特定资格条件中的“控股关系查询”为同一审查内容。</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供应商需在项目电子化交易系统中按要求上传相应证明文件并进行电子签章。此项审查内容与特定资格条件中的“控股关系查询”为同一审查内容。</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参加招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投标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在投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参加招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投标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在投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参加招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投标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在投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投标文件编制格式</w:t>
            </w:r>
          </w:p>
        </w:tc>
        <w:tc>
          <w:tcPr>
            <w:tcW w:type="dxa" w:w="3322"/>
          </w:tcPr>
          <w:p>
            <w:pPr>
              <w:pStyle w:val="null3"/>
            </w:pPr>
            <w:r>
              <w:rPr>
                <w:rFonts w:ascii="仿宋_GB2312" w:hAnsi="仿宋_GB2312" w:cs="仿宋_GB2312" w:eastAsia="仿宋_GB2312"/>
              </w:rPr>
              <w:t>除明确允许供应商可以自行编写的外，投标文件是否按照招标文件给定的格式和要求编制</w:t>
            </w:r>
          </w:p>
        </w:tc>
        <w:tc>
          <w:tcPr>
            <w:tcW w:type="dxa" w:w="1661"/>
          </w:tcPr>
          <w:p>
            <w:pPr>
              <w:pStyle w:val="null3"/>
            </w:pPr>
            <w:r>
              <w:rPr>
                <w:rFonts w:ascii="仿宋_GB2312" w:hAnsi="仿宋_GB2312" w:cs="仿宋_GB2312" w:eastAsia="仿宋_GB2312"/>
              </w:rPr>
              <w:t>业绩.docx 中小企业声明函 承诺书.docx 商务条款响应偏离表.docx 证书.docx 资格证明文件.docx 服务条款响应偏离表.docx 法定代表人授权书.docx 《拒绝政府采购领域商业贿赂承诺书》.docx 投标函 残疾人福利性单位声明函 投标人有必要说明的其他事项.docx 标的清单 投标文件封面 项目理解.docx 实施方案.docx 服务方案.docx 监狱企业的证明文件 拟派项目组人员.docx 投标人参与政府采购活动的承诺函.docx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业绩.docx 中小企业声明函 承诺书.docx 商务条款响应偏离表.docx 证书.docx 资格证明文件.docx 服务条款响应偏离表.docx 法定代表人授权书.docx 《拒绝政府采购领域商业贿赂承诺书》.docx 投标函 残疾人福利性单位声明函 投标人有必要说明的其他事项.docx 标的清单 投标文件封面 项目理解.docx 实施方案.docx 服务方案.docx 监狱企业的证明文件 拟派项目组人员.docx 投标人参与政府采购活动的承诺函.docx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针对同一项目不存在提交两份或多份内容不同的投标文件，未书面声明哪一份是有效的或出现选择性报价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投标报价未超过最高限价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是否对招标文件商务要求作出明确且实质性响应；是否对招标文件技术要求作出明确响应，对不得偏离的要求未作出实质性响应。</w:t>
            </w:r>
          </w:p>
        </w:tc>
        <w:tc>
          <w:tcPr>
            <w:tcW w:type="dxa" w:w="1661"/>
          </w:tcPr>
          <w:p>
            <w:pPr>
              <w:pStyle w:val="null3"/>
            </w:pPr>
            <w:r>
              <w:rPr>
                <w:rFonts w:ascii="仿宋_GB2312" w:hAnsi="仿宋_GB2312" w:cs="仿宋_GB2312" w:eastAsia="仿宋_GB2312"/>
              </w:rPr>
              <w:t>商务条款响应偏离表.docx 服务条款响应偏离表.docx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投标文件中提供的企业及人员资质证书等材料须在合同签订及履行期间持续有效，否则应在投标文件中提供一份承诺书，承诺到期前完成续期并向采购人提供新的材料。</w:t>
            </w:r>
          </w:p>
        </w:tc>
        <w:tc>
          <w:tcPr>
            <w:tcW w:type="dxa" w:w="3322"/>
          </w:tcPr>
          <w:p>
            <w:pPr>
              <w:pStyle w:val="null3"/>
            </w:pPr>
            <w:r>
              <w:rPr>
                <w:rFonts w:ascii="仿宋_GB2312" w:hAnsi="仿宋_GB2312" w:cs="仿宋_GB2312" w:eastAsia="仿宋_GB2312"/>
              </w:rPr>
              <w:t>投标文件中提供的企业及人员资质证书等材料须在合同签订及履行期间持续有效，否则应在投标文件中提供一份承诺书，承诺到期前完成续期并向采购人提供新的材料。</w:t>
            </w:r>
          </w:p>
        </w:tc>
        <w:tc>
          <w:tcPr>
            <w:tcW w:type="dxa" w:w="1661"/>
          </w:tcPr>
          <w:p>
            <w:pPr>
              <w:pStyle w:val="null3"/>
            </w:pPr>
            <w:r>
              <w:rPr>
                <w:rFonts w:ascii="仿宋_GB2312" w:hAnsi="仿宋_GB2312" w:cs="仿宋_GB2312" w:eastAsia="仿宋_GB2312"/>
              </w:rPr>
              <w:t>投标人有必要说明的其他事项.docx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投标文件无采购人不能接受的附加条件</w:t>
            </w:r>
          </w:p>
        </w:tc>
        <w:tc>
          <w:tcPr>
            <w:tcW w:type="dxa" w:w="1661"/>
          </w:tcPr>
          <w:p>
            <w:pPr>
              <w:pStyle w:val="null3"/>
            </w:pPr>
            <w:r>
              <w:rPr>
                <w:rFonts w:ascii="仿宋_GB2312" w:hAnsi="仿宋_GB2312" w:cs="仿宋_GB2312" w:eastAsia="仿宋_GB2312"/>
              </w:rPr>
              <w:t>投标人有必要说明的其他事项.docx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业绩.docx 中小企业声明函 承诺书.docx 商务条款响应偏离表.docx 证书.docx 资格证明文件.docx 服务条款响应偏离表.docx 法定代表人授权书.docx 《拒绝政府采购领域商业贿赂承诺书》.docx 投标函 残疾人福利性单位声明函 投标人有必要说明的其他事项.docx 标的清单 投标文件封面 项目理解.docx 实施方案.docx 服务方案.docx 监狱企业的证明文件 拟派项目组人员.docx 投标人参与政府采购活动的承诺函.docx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投标文件编制格式</w:t>
            </w:r>
          </w:p>
        </w:tc>
        <w:tc>
          <w:tcPr>
            <w:tcW w:type="dxa" w:w="3322"/>
          </w:tcPr>
          <w:p>
            <w:pPr>
              <w:pStyle w:val="null3"/>
            </w:pPr>
            <w:r>
              <w:rPr>
                <w:rFonts w:ascii="仿宋_GB2312" w:hAnsi="仿宋_GB2312" w:cs="仿宋_GB2312" w:eastAsia="仿宋_GB2312"/>
              </w:rPr>
              <w:t>除明确允许供应商可以自行编写的外，投标文件是否按照招标文件给定的格式和要求编制</w:t>
            </w:r>
          </w:p>
        </w:tc>
        <w:tc>
          <w:tcPr>
            <w:tcW w:type="dxa" w:w="1661"/>
          </w:tcPr>
          <w:p>
            <w:pPr>
              <w:pStyle w:val="null3"/>
            </w:pPr>
            <w:r>
              <w:rPr>
                <w:rFonts w:ascii="仿宋_GB2312" w:hAnsi="仿宋_GB2312" w:cs="仿宋_GB2312" w:eastAsia="仿宋_GB2312"/>
              </w:rPr>
              <w:t>业绩.docx 中小企业声明函 承诺书.docx 质量保证.docx 企业实力.docx 商务条款响应偏离表.docx 资格证明文件.docx 服务条款响应偏离表.docx 法定代表人授权书.docx 《拒绝政府采购领域商业贿赂承诺书》.docx 投标函 售后服务.docx 残疾人福利性单位声明函 投标人有必要说明的其他事项.docx 标的清单 投标文件封面 服务方案.docx 监狱企业的证明文件 投标人参与政府采购活动的承诺函.docx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业绩.docx 中小企业声明函 承诺书.docx 质量保证.docx 企业实力.docx 商务条款响应偏离表.docx 资格证明文件.docx 服务条款响应偏离表.docx 法定代表人授权书.docx 《拒绝政府采购领域商业贿赂承诺书》.docx 投标函 售后服务.docx 残疾人福利性单位声明函 投标人有必要说明的其他事项.docx 标的清单 投标文件封面 服务方案.docx 监狱企业的证明文件 投标人参与政府采购活动的承诺函.docx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针对同一项目不存在提交两份或多份内容不同的投标文件，未书面声明哪一份是有效的或出现选择性报价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招标报价未超过最高限价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是否对招标文件商务要求作出明确且实质性响应；是否对招标文件技术要求作出明确响应，对不得偏离的要求未作出实质性响应。</w:t>
            </w:r>
          </w:p>
        </w:tc>
        <w:tc>
          <w:tcPr>
            <w:tcW w:type="dxa" w:w="1661"/>
          </w:tcPr>
          <w:p>
            <w:pPr>
              <w:pStyle w:val="null3"/>
            </w:pPr>
            <w:r>
              <w:rPr>
                <w:rFonts w:ascii="仿宋_GB2312" w:hAnsi="仿宋_GB2312" w:cs="仿宋_GB2312" w:eastAsia="仿宋_GB2312"/>
              </w:rPr>
              <w:t>商务条款响应偏离表.docx 服务条款响应偏离表.docx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投标文件中提供的企业及人员资质证书等材料须在合同签订及履行期间持续有效，否则应在投标文件中提供一份承诺书，承诺到期前完成续期并向采购人提供新的材料。</w:t>
            </w:r>
          </w:p>
        </w:tc>
        <w:tc>
          <w:tcPr>
            <w:tcW w:type="dxa" w:w="3322"/>
          </w:tcPr>
          <w:p>
            <w:pPr>
              <w:pStyle w:val="null3"/>
            </w:pPr>
            <w:r>
              <w:rPr>
                <w:rFonts w:ascii="仿宋_GB2312" w:hAnsi="仿宋_GB2312" w:cs="仿宋_GB2312" w:eastAsia="仿宋_GB2312"/>
              </w:rPr>
              <w:t>投标文件中提供的企业及人员资质证书等材料须在合同签订及履行期间持续有效，否则应在投标文件中提供一份承诺书，承诺到期前完成续期并向采购人提供新的材料。</w:t>
            </w:r>
          </w:p>
        </w:tc>
        <w:tc>
          <w:tcPr>
            <w:tcW w:type="dxa" w:w="1661"/>
          </w:tcPr>
          <w:p>
            <w:pPr>
              <w:pStyle w:val="null3"/>
            </w:pPr>
            <w:r>
              <w:rPr>
                <w:rFonts w:ascii="仿宋_GB2312" w:hAnsi="仿宋_GB2312" w:cs="仿宋_GB2312" w:eastAsia="仿宋_GB2312"/>
              </w:rPr>
              <w:t>投标人有必要说明的其他事项.docx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投标文件无采购人不能接受的附加条件</w:t>
            </w:r>
          </w:p>
        </w:tc>
        <w:tc>
          <w:tcPr>
            <w:tcW w:type="dxa" w:w="1661"/>
          </w:tcPr>
          <w:p>
            <w:pPr>
              <w:pStyle w:val="null3"/>
            </w:pPr>
            <w:r>
              <w:rPr>
                <w:rFonts w:ascii="仿宋_GB2312" w:hAnsi="仿宋_GB2312" w:cs="仿宋_GB2312" w:eastAsia="仿宋_GB2312"/>
              </w:rPr>
              <w:t>投标人有必要说明的其他事项.docx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业绩.docx 中小企业声明函 承诺书.docx 质量保证.docx 企业实力.docx 商务条款响应偏离表.docx 资格证明文件.docx 服务条款响应偏离表.docx 法定代表人授权书.docx 《拒绝政府采购领域商业贿赂承诺书》.docx 投标函 售后服务.docx 残疾人福利性单位声明函 投标人有必要说明的其他事项.docx 标的清单 投标文件封面 服务方案.docx 监狱企业的证明文件 投标人参与政府采购活动的承诺函.docx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投标文件编制格式</w:t>
            </w:r>
          </w:p>
        </w:tc>
        <w:tc>
          <w:tcPr>
            <w:tcW w:type="dxa" w:w="3322"/>
          </w:tcPr>
          <w:p>
            <w:pPr>
              <w:pStyle w:val="null3"/>
            </w:pPr>
            <w:r>
              <w:rPr>
                <w:rFonts w:ascii="仿宋_GB2312" w:hAnsi="仿宋_GB2312" w:cs="仿宋_GB2312" w:eastAsia="仿宋_GB2312"/>
              </w:rPr>
              <w:t>除明确允许供应商可以自行编写的外，投标文件是否按照招标文件给定的格式和要求编制</w:t>
            </w:r>
          </w:p>
        </w:tc>
        <w:tc>
          <w:tcPr>
            <w:tcW w:type="dxa" w:w="1661"/>
          </w:tcPr>
          <w:p>
            <w:pPr>
              <w:pStyle w:val="null3"/>
            </w:pPr>
            <w:r>
              <w:rPr>
                <w:rFonts w:ascii="仿宋_GB2312" w:hAnsi="仿宋_GB2312" w:cs="仿宋_GB2312" w:eastAsia="仿宋_GB2312"/>
              </w:rPr>
              <w:t>售后服务方案.docx 保证措施.docx 中小企业声明函 项目团队.docx 承诺书.docx 质量保证.docx 商务条款响应偏离表.docx 资格证明文件.docx 服务条款响应偏离表.docx 管理平台措施.docx 法定代表人授权书.docx 《拒绝政府采购领域商业贿赂承诺书》.docx 整体服务方案完整性.docx 投标函 残疾人福利性单位声明函 培训措施.docx 投标人有必要说明的其他事项.docx 标的清单 投标文件封面 类似业绩.docx 监狱企业的证明文件 投标人参与政府采购活动的承诺函.docx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售后服务方案.docx 保证措施.docx 中小企业声明函 项目团队.docx 承诺书.docx 质量保证.docx 商务条款响应偏离表.docx 资格证明文件.docx 服务条款响应偏离表.docx 管理平台措施.docx 法定代表人授权书.docx 《拒绝政府采购领域商业贿赂承诺书》.docx 整体服务方案完整性.docx 投标函 残疾人福利性单位声明函 培训措施.docx 投标人有必要说明的其他事项.docx 标的清单 投标文件封面 类似业绩.docx 监狱企业的证明文件 投标人参与政府采购活动的承诺函.docx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针对同一项目不存在提交两份或多份内容不同的投标文件，未书面声明哪一份是有效的或出现选择性报价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投标报价未超过最高限价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是否对招标文件商务要求作出明确且实质性响应；是否对招标文件技术要求作出明确响应，对不得偏离的要求未作出实质性响应。</w:t>
            </w:r>
          </w:p>
        </w:tc>
        <w:tc>
          <w:tcPr>
            <w:tcW w:type="dxa" w:w="1661"/>
          </w:tcPr>
          <w:p>
            <w:pPr>
              <w:pStyle w:val="null3"/>
            </w:pPr>
            <w:r>
              <w:rPr>
                <w:rFonts w:ascii="仿宋_GB2312" w:hAnsi="仿宋_GB2312" w:cs="仿宋_GB2312" w:eastAsia="仿宋_GB2312"/>
              </w:rPr>
              <w:t>商务条款响应偏离表.docx 服务条款响应偏离表.docx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投标文件中提供的企业及人员资质证书等材料须在合同签订及履行期间持续有效，否则应在投标文件中提供一份承诺书，承诺到期前完成续期并向采购人提供新的材料。</w:t>
            </w:r>
          </w:p>
        </w:tc>
        <w:tc>
          <w:tcPr>
            <w:tcW w:type="dxa" w:w="3322"/>
          </w:tcPr>
          <w:p>
            <w:pPr>
              <w:pStyle w:val="null3"/>
            </w:pPr>
            <w:r>
              <w:rPr>
                <w:rFonts w:ascii="仿宋_GB2312" w:hAnsi="仿宋_GB2312" w:cs="仿宋_GB2312" w:eastAsia="仿宋_GB2312"/>
              </w:rPr>
              <w:t>投标文件中提供的企业及人员资质证书等材料须在合同签订及履行期间持续有效，否则应在投标文件中提供一份承诺书，承诺到期前完成续期并向采购人提供新的材料。</w:t>
            </w:r>
          </w:p>
        </w:tc>
        <w:tc>
          <w:tcPr>
            <w:tcW w:type="dxa" w:w="1661"/>
          </w:tcPr>
          <w:p>
            <w:pPr>
              <w:pStyle w:val="null3"/>
            </w:pPr>
            <w:r>
              <w:rPr>
                <w:rFonts w:ascii="仿宋_GB2312" w:hAnsi="仿宋_GB2312" w:cs="仿宋_GB2312" w:eastAsia="仿宋_GB2312"/>
              </w:rPr>
              <w:t>投标人有必要说明的其他事项.docx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投标文件无采购人不能接受的附加条件</w:t>
            </w:r>
          </w:p>
        </w:tc>
        <w:tc>
          <w:tcPr>
            <w:tcW w:type="dxa" w:w="1661"/>
          </w:tcPr>
          <w:p>
            <w:pPr>
              <w:pStyle w:val="null3"/>
            </w:pPr>
            <w:r>
              <w:rPr>
                <w:rFonts w:ascii="仿宋_GB2312" w:hAnsi="仿宋_GB2312" w:cs="仿宋_GB2312" w:eastAsia="仿宋_GB2312"/>
              </w:rPr>
              <w:t>投标人有必要说明的其他事项.docx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售后服务方案.docx 保证措施.docx 中小企业声明函 项目团队.docx 承诺书.docx 质量保证.docx 商务条款响应偏离表.docx 资格证明文件.docx 服务条款响应偏离表.docx 管理平台措施.docx 法定代表人授权书.docx 《拒绝政府采购领域商业贿赂承诺书》.docx 整体服务方案完整性.docx 投标函 残疾人福利性单位声明函 培训措施.docx 投标人有必要说明的其他事项.docx 标的清单 投标文件封面 类似业绩.docx 监狱企业的证明文件 投标人参与政府采购活动的承诺函.docx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项目理解1</w:t>
            </w:r>
          </w:p>
        </w:tc>
        <w:tc>
          <w:tcPr>
            <w:tcW w:type="dxa" w:w="2492"/>
          </w:tcPr>
          <w:p>
            <w:pPr>
              <w:pStyle w:val="null3"/>
            </w:pPr>
            <w:r>
              <w:rPr>
                <w:rFonts w:ascii="仿宋_GB2312" w:hAnsi="仿宋_GB2312" w:cs="仿宋_GB2312" w:eastAsia="仿宋_GB2312"/>
              </w:rPr>
              <w:t>根据投标人对本项目涉及不动产权籍业务管理现状、信息化建设现状的理解程序进行打分：①业务管理现状、信息化建设现状的内容理解准确，描述全面详细的计6分；②内容描述不全面，不清晰的计4分；③内容只提供框架，无详细内容描述的计2分；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项目理解.docx</w:t>
            </w:r>
          </w:p>
        </w:tc>
      </w:tr>
      <w:tr>
        <w:tc>
          <w:tcPr>
            <w:tcW w:type="dxa" w:w="831"/>
            <w:vMerge/>
          </w:tcPr>
          <w:p/>
        </w:tc>
        <w:tc>
          <w:tcPr>
            <w:tcW w:type="dxa" w:w="1661"/>
          </w:tcPr>
          <w:p>
            <w:pPr>
              <w:pStyle w:val="null3"/>
            </w:pPr>
            <w:r>
              <w:rPr>
                <w:rFonts w:ascii="仿宋_GB2312" w:hAnsi="仿宋_GB2312" w:cs="仿宋_GB2312" w:eastAsia="仿宋_GB2312"/>
              </w:rPr>
              <w:t>项目理解2</w:t>
            </w:r>
          </w:p>
        </w:tc>
        <w:tc>
          <w:tcPr>
            <w:tcW w:type="dxa" w:w="2492"/>
          </w:tcPr>
          <w:p>
            <w:pPr>
              <w:pStyle w:val="null3"/>
            </w:pPr>
            <w:r>
              <w:rPr>
                <w:rFonts w:ascii="仿宋_GB2312" w:hAnsi="仿宋_GB2312" w:cs="仿宋_GB2312" w:eastAsia="仿宋_GB2312"/>
              </w:rPr>
              <w:t>根据对本项目涉及业务的流程、管理要求的熟悉程度进行打分：①业务流程、管理要求的内容理解准确，描述全面详细的计8分；②内容描述不全面，不清晰的计5分；③内容只提供框架，无详细内容描述的计2分；④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项目理解.docx</w:t>
            </w:r>
          </w:p>
        </w:tc>
      </w:tr>
      <w:tr>
        <w:tc>
          <w:tcPr>
            <w:tcW w:type="dxa" w:w="831"/>
            <w:vMerge/>
          </w:tcPr>
          <w:p/>
        </w:tc>
        <w:tc>
          <w:tcPr>
            <w:tcW w:type="dxa" w:w="1661"/>
          </w:tcPr>
          <w:p>
            <w:pPr>
              <w:pStyle w:val="null3"/>
            </w:pPr>
            <w:r>
              <w:rPr>
                <w:rFonts w:ascii="仿宋_GB2312" w:hAnsi="仿宋_GB2312" w:cs="仿宋_GB2312" w:eastAsia="仿宋_GB2312"/>
              </w:rPr>
              <w:t>项目理解3</w:t>
            </w:r>
          </w:p>
        </w:tc>
        <w:tc>
          <w:tcPr>
            <w:tcW w:type="dxa" w:w="2492"/>
          </w:tcPr>
          <w:p>
            <w:pPr>
              <w:pStyle w:val="null3"/>
            </w:pPr>
            <w:r>
              <w:rPr>
                <w:rFonts w:ascii="仿宋_GB2312" w:hAnsi="仿宋_GB2312" w:cs="仿宋_GB2312" w:eastAsia="仿宋_GB2312"/>
              </w:rPr>
              <w:t>根据对本项目系统的熟悉程度进行打分：①系统功能理解准确，描述全面详细的计8分；②内容描述不全面，不清晰的计5分；③内容只提供框架，无详细内容描述的计2分；④未提供相关内容的不计分。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项目理解.docx</w:t>
            </w:r>
          </w:p>
        </w:tc>
      </w:tr>
      <w:tr>
        <w:tc>
          <w:tcPr>
            <w:tcW w:type="dxa" w:w="831"/>
            <w:vMerge/>
          </w:tcP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根据运行维护方案的完整性、先进性、安全性等打分：①方案详细具体、贴合采购需求，符合国家标准，具有可扩展性、具有易维护性。得8分②方案较完整，符合国家标准，可扩展能力及维护性较弱。得5分。③方案不够完整，扩展性及维护性较差。得2分。④未提供本项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根据运行维护方案的的业务满足程度打分。①方案详细具体，贴合采购需求，并能提供合理科学的增值方案等的计8分；②方案较完整，满足采购需求的计5分；③方案不够完整，部分满足采购需求的计2分；④未提供本项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根据项目实施方案的完整性、科学性、成熟性综合打分。①实施方案内容丰富全面，实施内容科学、先进、可操作性强、运用成熟的计5分；②实施方案内容较完整，实施内容合理，能够保障项目的正常实施的计3分；③实施方案内容不够完整，实施内容不够合理的计1分；④方案不完整或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根据项目管理能力，进度安排的合理性、可行性进行综合打分：①提供详细具体的管理及实施方案，高效、合理，管理清晰的计5分；②提供的方案较完整，进度安排合理，能够保障项目正常实施的计3分；③提供的方案内容不够完整，管理及进度安排不够合理的计1分；④提出的方案不完整或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根据项目组织机构的合理性、可行性打分：①提供详细具体的方案，组织机构安排合理、科学、可行性强，能够保障项目的实施的计4分；②提供的方案较完整，安排较合理的计2分；③提供的方案不够完整，可行性较弱的计1分；④提供的方案不完整或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实施方案4</w:t>
            </w:r>
          </w:p>
        </w:tc>
        <w:tc>
          <w:tcPr>
            <w:tcW w:type="dxa" w:w="2492"/>
          </w:tcPr>
          <w:p>
            <w:pPr>
              <w:pStyle w:val="null3"/>
            </w:pPr>
            <w:r>
              <w:rPr>
                <w:rFonts w:ascii="仿宋_GB2312" w:hAnsi="仿宋_GB2312" w:cs="仿宋_GB2312" w:eastAsia="仿宋_GB2312"/>
              </w:rPr>
              <w:t>项目经理是否具有类似本项目的实施经验及项目组成员的 能力及经验进行打分：①人员配备满足且高于采购需求，且提供丰富的相关证明资料的计4分；②人员配备基本满足采购需求，提供部分证明资料。得2分；③人员配备部分满足采购需求，提供的部分证明资料的计1分。④人员不满足采购需求或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实施方案5</w:t>
            </w:r>
          </w:p>
        </w:tc>
        <w:tc>
          <w:tcPr>
            <w:tcW w:type="dxa" w:w="2492"/>
          </w:tcPr>
          <w:p>
            <w:pPr>
              <w:pStyle w:val="null3"/>
            </w:pPr>
            <w:r>
              <w:rPr>
                <w:rFonts w:ascii="仿宋_GB2312" w:hAnsi="仿宋_GB2312" w:cs="仿宋_GB2312" w:eastAsia="仿宋_GB2312"/>
              </w:rPr>
              <w:t>根据项目应急方案的完整性、针对性、可实施性及业务满足程序打分：①提供针对本项目的详细具体方案、可实施性强，满足业务需求的计5分；②提供的方案较完整，可实施性较强、部分满足业务需的计3分；③提供的方案不够完整，可实施性较弱的计1分；④提供的方案不完整或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拟派项目组人员</w:t>
            </w:r>
          </w:p>
        </w:tc>
        <w:tc>
          <w:tcPr>
            <w:tcW w:type="dxa" w:w="2492"/>
          </w:tcPr>
          <w:p>
            <w:pPr>
              <w:pStyle w:val="null3"/>
            </w:pPr>
            <w:r>
              <w:rPr>
                <w:rFonts w:ascii="仿宋_GB2312" w:hAnsi="仿宋_GB2312" w:cs="仿宋_GB2312" w:eastAsia="仿宋_GB2312"/>
              </w:rPr>
              <w:t>提供投入人员开标前6个月的本单位为其缴纳的社会保险参保缴纳情况证明、大专及以上学历证明、项目经理及主要开发人员软件开发经历等。提供5名人员得分10分，每增加1名人员人加2.5分，少于5人得0分。(附相关证明材料的复印件加盖供应商公章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拟派项目组人员.docx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提供2022年1月1日以来类似项目的业绩证明材料、验收报告（合同与验收报告二者缺一不可，并加盖公章），每出具一份业绩证明材料得2分，满分10分。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证书</w:t>
            </w:r>
          </w:p>
        </w:tc>
        <w:tc>
          <w:tcPr>
            <w:tcW w:type="dxa" w:w="2492"/>
          </w:tcPr>
          <w:p>
            <w:pPr>
              <w:pStyle w:val="null3"/>
            </w:pPr>
            <w:r>
              <w:rPr>
                <w:rFonts w:ascii="仿宋_GB2312" w:hAnsi="仿宋_GB2312" w:cs="仿宋_GB2312" w:eastAsia="仿宋_GB2312"/>
              </w:rPr>
              <w:t>1、投标人具有CMMI3及以上认证证书，得1分； 2、投标人具有ITSS信息服务运行维护标准证书，得1分； 3、投标人具有ISO9001质量管理体系认证，得1分； 4、投标人具有ISO27001信息安全管理体系认证证书，得1分。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证书.docx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根据供应商提供西安市“互联网+”系统现状和需求分析报告进行综合评分，方案要求利用现有资源和专业知识，系统全面地对运行情况进行分析，充分了解互联网+不动产业务（8分）。 ①提供不动产登记系统架构详解及架构图--0-2分； ②提供不动产登记系统网络安全保障体系拓扑图--0-2分； ③提供互联网+不动产相关业务逻辑说明--0-2分； ④提供互联网+系统架构及技术要求0-2分；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根据“互联网+”系统现状和需求分析报告，给出既要符合用户现状实际，又要与现有业务规划相适应的建议性的系统运维方案。方案要求结合互联网业务架构、互联网安全架构、信息安全保障体系和不动产业务的独特性给出系统性的、合理性的拓扑图和后期维护方案（8分）。 ①提供不动产运维管理体系--0-3分； ②提供不动产运维管理规范--0-3分； ③提供互联网+运维服务标准化方案--0-2分；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根据供应商提供的实时监测与安全防护运维方案进行综合评分，方案要求结合不动产安全环境现状与自身经验，制定出多层次多维度的互联网安全防护策略（8分）。 ①提供实时监测与安全防护运维方案--0-2分； ②提供不动产登记信息安全软硬件防护方案--0-2分； ③提供不动产登记信息安全研发机制拓扑图--0-2分； ④提供互联网+系统的运维案例--0-2分；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供应商需提供“互联网+不动产”应用的运维研发方案，方案要求建立包括需求开发，系统设计，测试连调，上线更新等一系列规范化制度化的研发流程以及各环节的文档报告。（8分） ①提供不动产登记平台开发现状分析--0-3分； ②提供不动产系统发布流程架构图--0-2分； ③提供各系统开发管理规范--0-3分。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服务方案5</w:t>
            </w:r>
          </w:p>
        </w:tc>
        <w:tc>
          <w:tcPr>
            <w:tcW w:type="dxa" w:w="2492"/>
          </w:tcPr>
          <w:p>
            <w:pPr>
              <w:pStyle w:val="null3"/>
            </w:pPr>
            <w:r>
              <w:rPr>
                <w:rFonts w:ascii="仿宋_GB2312" w:hAnsi="仿宋_GB2312" w:cs="仿宋_GB2312" w:eastAsia="仿宋_GB2312"/>
              </w:rPr>
              <w:t>供应商需提供“互联网+不动产”系统运维数据存储设计方案，数据库表设计方案，索引设计和SQL优化方案，对数据库进行变更、监控、备份、高可用的设计方案。 ①内容详细全面、架构完整、层次清楚、完善可行的计8分； ②针对以上方案要求，有1项欠缺的计6分； ③针对以上方案要求，有2项欠缺的计4分； ④针对以上方案要求，有3项欠缺的计1分； ⑤未提供本项内容的不计分。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服务方案6</w:t>
            </w:r>
          </w:p>
        </w:tc>
        <w:tc>
          <w:tcPr>
            <w:tcW w:type="dxa" w:w="2492"/>
          </w:tcPr>
          <w:p>
            <w:pPr>
              <w:pStyle w:val="null3"/>
            </w:pPr>
            <w:r>
              <w:rPr>
                <w:rFonts w:ascii="仿宋_GB2312" w:hAnsi="仿宋_GB2312" w:cs="仿宋_GB2312" w:eastAsia="仿宋_GB2312"/>
              </w:rPr>
              <w:t>信息宣传发布方案：方案要求基于西安不动产登记微信公众号宣发平台，对不动产登记信息公开，政务宣传，实事动态等方面，结合自身经验，制定出具体的信息发布与宣传计划。 ①内容详细全面、方案设计合理、架构完整、层次清楚、完善可行的计8分； ②针对以上方案要求，有1项欠缺或只有书面承诺，缺少具体措施办法的计5分； ③针对以上方案要求，有2项欠缺的计3分； ⑤未提供本项内容的不计分。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服务方案7</w:t>
            </w:r>
          </w:p>
        </w:tc>
        <w:tc>
          <w:tcPr>
            <w:tcW w:type="dxa" w:w="2492"/>
          </w:tcPr>
          <w:p>
            <w:pPr>
              <w:pStyle w:val="null3"/>
            </w:pPr>
            <w:r>
              <w:rPr>
                <w:rFonts w:ascii="仿宋_GB2312" w:hAnsi="仿宋_GB2312" w:cs="仿宋_GB2312" w:eastAsia="仿宋_GB2312"/>
              </w:rPr>
              <w:t>根据供应商提供的12345投诉解决方案进行综合评分，针对群众热线投诉问题；建立热线工单的办理流程；办理制度；及时、准确、高效解决群众问题的规范。 ①内容详细全面、架构完整、层次清楚、完善可行的计8分； ②针对以上方案要求，有1项欠缺的计6分； ③针对以上方案要求，有2项欠缺的计4分； ④针对以上方案要求，有3项欠缺的计1分； ⑤未提供本项内容的不计分。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根据日常维护的数据和记录，生成运维巡检日报，周报及月报，提供系统的整体规划和建议。按照要求期限排除故障，制定故障诊断及质量保障措施，制度合理，措施明确。 ①内容详细全面、方案设计合理、架构完整、层次清楚、完善可行的计7分； ②针对以上方案要求，有1项欠缺或只有书面承诺，缺少具体措施办法的计5分； ③针对以上方案要求，有2项欠缺的计3分； ④针对以上要求，有3项欠缺的计1分； ⑤未提供本项内容的不计分。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供应商须具有良好的服务能力，售后服务方案编制详细（包括但不限于服务人员配备、响应时间、响应程度、解决问题能力、操作培训措施、紧急故障处理预案及措施等） ①内容详细全面、方案设计合理、架构完整、层次清楚、完善可行的计10分； ②针对以上方案要求，有1项欠缺或只有书面承诺，缺少具体措施办法的计7分； ③针对以上方案要求，有2项欠缺的计5分； ④针对以上要求，有3项欠缺的计3分； ⑤未提供本项内容的不计分。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提供投标人2021年01月至今不动产相关开发或运维业绩，（需在投标文件中提供相关合同复印件及中标通知书复印件加盖公章，否则不得分），每出具一份业绩证明材料得2分，满分10分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企业实力1</w:t>
            </w:r>
          </w:p>
        </w:tc>
        <w:tc>
          <w:tcPr>
            <w:tcW w:type="dxa" w:w="2492"/>
          </w:tcPr>
          <w:p>
            <w:pPr>
              <w:pStyle w:val="null3"/>
            </w:pPr>
            <w:r>
              <w:rPr>
                <w:rFonts w:ascii="仿宋_GB2312" w:hAnsi="仿宋_GB2312" w:cs="仿宋_GB2312" w:eastAsia="仿宋_GB2312"/>
              </w:rPr>
              <w:t>提供有关不动产相关业务的中华人民共和国国家版权局计算机软件著作权登记证书，毎提供一份，记1分，最高得3分。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企业实力2</w:t>
            </w:r>
          </w:p>
        </w:tc>
        <w:tc>
          <w:tcPr>
            <w:tcW w:type="dxa" w:w="2492"/>
          </w:tcPr>
          <w:p>
            <w:pPr>
              <w:pStyle w:val="null3"/>
            </w:pPr>
            <w:r>
              <w:rPr>
                <w:rFonts w:ascii="仿宋_GB2312" w:hAnsi="仿宋_GB2312" w:cs="仿宋_GB2312" w:eastAsia="仿宋_GB2312"/>
              </w:rPr>
              <w:t>提供有关网络与计算机系统维护服务，计算机应用软件开发认证或者计算机应用软件开发的售后服务认证范围的服务认证证书、职业健康安全管理体系认证证书、环境管理体系认证证书或质量管理体系认证证书，毎提供一份，记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整体服务方案完整性</w:t>
            </w:r>
          </w:p>
        </w:tc>
        <w:tc>
          <w:tcPr>
            <w:tcW w:type="dxa" w:w="2492"/>
          </w:tcPr>
          <w:p>
            <w:pPr>
              <w:pStyle w:val="null3"/>
            </w:pPr>
            <w:r>
              <w:rPr>
                <w:rFonts w:ascii="仿宋_GB2312" w:hAnsi="仿宋_GB2312" w:cs="仿宋_GB2312" w:eastAsia="仿宋_GB2312"/>
              </w:rPr>
              <w:t>提出针对本项目的服务方案进行综合打分，投标人提供的方案如下： 1.项目整体运维实施方案； 2.维护服务方案； 3.技术支持方案； 4.巡检方案； 5.安全保障方案； 6.应急方案； 以上六个方案投标人每缺少1项扣5分，如已提供方案，每个方案按如下三档进行评分： ①方案合理，内容详细，措施完善，完全满足或优于招标要求，得5分； ②方案只有框架，没有详细说明，措施简略，得3分； ③方案内容有遗漏，得0分。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整体服务方案完整性.docx</w:t>
            </w:r>
          </w:p>
        </w:tc>
      </w:tr>
      <w:tr>
        <w:tc>
          <w:tcPr>
            <w:tcW w:type="dxa" w:w="831"/>
            <w:vMerge/>
          </w:tcPr>
          <w:p/>
        </w:tc>
        <w:tc>
          <w:tcPr>
            <w:tcW w:type="dxa" w:w="1661"/>
          </w:tcPr>
          <w:p>
            <w:pPr>
              <w:pStyle w:val="null3"/>
            </w:pPr>
            <w:r>
              <w:rPr>
                <w:rFonts w:ascii="仿宋_GB2312" w:hAnsi="仿宋_GB2312" w:cs="仿宋_GB2312" w:eastAsia="仿宋_GB2312"/>
              </w:rPr>
              <w:t>保证措施</w:t>
            </w:r>
          </w:p>
        </w:tc>
        <w:tc>
          <w:tcPr>
            <w:tcW w:type="dxa" w:w="2492"/>
          </w:tcPr>
          <w:p>
            <w:pPr>
              <w:pStyle w:val="null3"/>
            </w:pPr>
            <w:r>
              <w:rPr>
                <w:rFonts w:ascii="仿宋_GB2312" w:hAnsi="仿宋_GB2312" w:cs="仿宋_GB2312" w:eastAsia="仿宋_GB2312"/>
              </w:rPr>
              <w:t>提供维护过程中不更改或中断现在正在运行的所有相关业务及数据流通环节的保证措施： ①针对保证措施，有具体的控制流程和保证办法，得4分； ②针对产品保证措施，只有书面承诺，缺少具体措施办法，得2分； ③未提供不得分。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保证措施.docx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提供针对本项目具体详细的操作培训措施及办法： ①针对本项目有具体的操作培训方案、简单实用的措施实施办法，得4分； ②针对本项目操作培训，只有书面说明，缺少具体培训及措施办法，得2分； ③未提供不得分。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培训措施.docx</w:t>
            </w:r>
          </w:p>
        </w:tc>
      </w:tr>
      <w:tr>
        <w:tc>
          <w:tcPr>
            <w:tcW w:type="dxa" w:w="831"/>
            <w:vMerge/>
          </w:tcPr>
          <w:p/>
        </w:tc>
        <w:tc>
          <w:tcPr>
            <w:tcW w:type="dxa" w:w="1661"/>
          </w:tcPr>
          <w:p>
            <w:pPr>
              <w:pStyle w:val="null3"/>
            </w:pPr>
            <w:r>
              <w:rPr>
                <w:rFonts w:ascii="仿宋_GB2312" w:hAnsi="仿宋_GB2312" w:cs="仿宋_GB2312" w:eastAsia="仿宋_GB2312"/>
              </w:rPr>
              <w:t>管理平台措施</w:t>
            </w:r>
          </w:p>
        </w:tc>
        <w:tc>
          <w:tcPr>
            <w:tcW w:type="dxa" w:w="2492"/>
          </w:tcPr>
          <w:p>
            <w:pPr>
              <w:pStyle w:val="null3"/>
            </w:pPr>
            <w:r>
              <w:rPr>
                <w:rFonts w:ascii="仿宋_GB2312" w:hAnsi="仿宋_GB2312" w:cs="仿宋_GB2312" w:eastAsia="仿宋_GB2312"/>
              </w:rPr>
              <w:t>结合《西安市不动产登记信息管理平台》业务系统实际运行状况，提供在数据申请单，BUG修改单，权限申请单等方面管理措施，并要求有针对性的对业务运行情况进行合理性分析，与业务规划相适应。 ①针对以上内容及要求，有具体的分析方案，明确且详细的管理措施，得8分； ②针对以上内容及要求，有1项欠缺或任意1项措施方法不明确，得4分； ③针对以上内容及要求，分析方案模糊，管理措施描述简略，无实际操作功能，得2分； ④未提供不得分。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管理平台措施.docx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具有专业化的运维工程师技术队伍（不低于服务方案要求的人数），提供有效技术支持，拟派项目负责人及项目组成人员。 ①提供人员配置完整、全面，专业齐全，人员工作经验丰富，得10分； ②提供人员配置不明确、搭配不合理，专业不齐全，得7分； ③提供人员人数未达到招标要求人数、只有概述，缺少具体人员信息，得4分； ④未提供不得分。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1.安全及质量保障方案； 2.保障系统及数据安全措施； 3.财力调配； 4.故障诊断措施； 以上四个方案投标人每缺少1项扣2分，如已提供方案，每个方案按如下三档进行评分： ①方案合理，内容详细，措施完善，完全满足或优于招标要求，得2分； ②方案只有框架，没有详细说明，措施简略，得1分； ③方案内容有遗漏，得0分。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供应商须具有良好的服务能力： 1.服务人员配备； 2.响应时间； 3.响应程度； 4.解决问题能力； 5.紧急故障处理预案及措施； 以上五个方案投标人每缺少1项扣4分，如已提供方案，每个方案按如下三档进行评分： ①方案合理，内容详细，措施完善，完全满足或优于招标要求，得4分； ②方案只有框架，没有详细说明，措施简略，得2分； ③方案内容有遗漏，得0分。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提供投标人2021年01月至今类似项目业绩，每提供一份的得1.5分，此项最多得 6分。（需在投标文件中提供相关合同复印件及中标通知书复印件加盖公章，否则不得分）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详见附件：项目理解.docx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详见附件：拟派项目组人员.docx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详见附件：证书.docx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详见附件：投标人参与政府采购活动的承诺函.docx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详见附件：投标人有必要说明的其他事项.docx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详见附件：企业实力.docx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详见附件：投标人参与政府采购活动的承诺函.docx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详见附件：投标人有必要说明的其他事项.docx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详见附件：整体服务方案完整性.docx</w:t>
      </w:r>
    </w:p>
    <w:p>
      <w:pPr>
        <w:pStyle w:val="null3"/>
        <w:ind w:firstLine="960"/>
      </w:pPr>
      <w:r>
        <w:rPr>
          <w:rFonts w:ascii="仿宋_GB2312" w:hAnsi="仿宋_GB2312" w:cs="仿宋_GB2312" w:eastAsia="仿宋_GB2312"/>
        </w:rPr>
        <w:t>详见附件：保证措施.docx</w:t>
      </w:r>
    </w:p>
    <w:p>
      <w:pPr>
        <w:pStyle w:val="null3"/>
        <w:ind w:firstLine="960"/>
      </w:pPr>
      <w:r>
        <w:rPr>
          <w:rFonts w:ascii="仿宋_GB2312" w:hAnsi="仿宋_GB2312" w:cs="仿宋_GB2312" w:eastAsia="仿宋_GB2312"/>
        </w:rPr>
        <w:t>详见附件：培训措施.docx</w:t>
      </w:r>
    </w:p>
    <w:p>
      <w:pPr>
        <w:pStyle w:val="null3"/>
        <w:ind w:firstLine="960"/>
      </w:pPr>
      <w:r>
        <w:rPr>
          <w:rFonts w:ascii="仿宋_GB2312" w:hAnsi="仿宋_GB2312" w:cs="仿宋_GB2312" w:eastAsia="仿宋_GB2312"/>
        </w:rPr>
        <w:t>详见附件：管理平台措施.docx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详见附件：投标人参与政府采购活动的承诺函.docx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详见附件：投标人有必要说明的其他事项.docx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