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版本号：ZX2025-06-5920250703001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2025年西安市艾滋病综合宣传活动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ZX2025-06-59</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2025年西安市艾滋病综合宣传活动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2025年西安市艾滋病综合宣传活动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2025年西安市艾滋病综合宣传活动，1项，具体内容详见磋商文件第三章。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采购包1（2025年西安市艾滋病综合宣传活动）：属于专门面向中小企业采购。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同时提供授权代表由供应商缴纳的磋商日期前连续3个月的社保记录。</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承诺函1：供应商与其他供应商无交叉控股股东、无交叉兼任高级管理人员及涉嫌联合围标、串标行为，无采购单位和招标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4、承诺函2：本项目不接受由西安市疾病预防控制中心职工及其亲属投资开办的企业参加本单位的政府采购活动（提供承诺函）。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029-85525039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2025年西安市艾滋病综合宣传活动，1项。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2025年西安市艾滋病综合宣传服务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标的名称：2025年西安市艾滋病综合宣传服务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一、宣传要求</w:t>
            </w:r>
          </w:p>
          <w:p>
            <w:pPr>
              <w:pStyle w:val="null3"/>
            </w:pPr>
            <w:r>
              <w:rPr>
                <w:rFonts w:ascii="仿宋_GB2312" w:hAnsi="仿宋_GB2312" w:cs="仿宋_GB2312" w:eastAsia="仿宋_GB2312"/>
              </w:rPr>
              <w:t>1、执行时间：自合同签订之日起至2025年12月上旬</w:t>
            </w:r>
          </w:p>
          <w:p>
            <w:pPr>
              <w:pStyle w:val="null3"/>
            </w:pPr>
            <w:r>
              <w:rPr>
                <w:rFonts w:ascii="仿宋_GB2312" w:hAnsi="仿宋_GB2312" w:cs="仿宋_GB2312" w:eastAsia="仿宋_GB2312"/>
              </w:rPr>
              <w:t>2、整体要求：整合媒体资源，选择最优化的组合，确保活动类型多样、形式新颖、人群覆盖面大，且每月均有覆盖，重点在11月15日-12月15日期间投放媒体资源。</w:t>
            </w:r>
          </w:p>
          <w:p>
            <w:pPr>
              <w:pStyle w:val="null3"/>
            </w:pPr>
            <w:r>
              <w:rPr>
                <w:rFonts w:ascii="仿宋_GB2312" w:hAnsi="仿宋_GB2312" w:cs="仿宋_GB2312" w:eastAsia="仿宋_GB2312"/>
              </w:rPr>
              <w:t>3、媒体形式应网络与线下相结合，且贴合艾滋病宣传主题与目标人群，公共场所媒体形式不少于4种，网络媒体形式不少于2种。供应商需提供不同组合方案至少3种，且明确各类媒体的预计发布点位、频次、时长，以供采购人参考，最终媒体选择权在甲方。</w:t>
            </w:r>
          </w:p>
          <w:p>
            <w:pPr>
              <w:pStyle w:val="null3"/>
            </w:pPr>
            <w:r>
              <w:rPr>
                <w:rFonts w:ascii="仿宋_GB2312" w:hAnsi="仿宋_GB2312" w:cs="仿宋_GB2312" w:eastAsia="仿宋_GB2312"/>
              </w:rPr>
              <w:t>4、必须包含项目</w:t>
            </w:r>
          </w:p>
          <w:p>
            <w:pPr>
              <w:pStyle w:val="null3"/>
            </w:pPr>
            <w:r>
              <w:rPr>
                <w:rFonts w:ascii="仿宋_GB2312" w:hAnsi="仿宋_GB2312" w:cs="仿宋_GB2312" w:eastAsia="仿宋_GB2312"/>
              </w:rPr>
              <w:t>（1）在不少于5家影院（主城区奥斯卡、万达等品牌）发布为期4周（暑期档2周、十一档1周、艾滋病宣传月期间1周）的艾滋病防治映前广告，顺序为倒三位。</w:t>
            </w:r>
          </w:p>
          <w:p>
            <w:pPr>
              <w:pStyle w:val="null3"/>
            </w:pPr>
            <w:r>
              <w:rPr>
                <w:rFonts w:ascii="仿宋_GB2312" w:hAnsi="仿宋_GB2312" w:cs="仿宋_GB2312" w:eastAsia="仿宋_GB2312"/>
              </w:rPr>
              <w:t>（2）在地铁1、2、3、4、6号线内热门站点（S+、S、A++级）各类平面媒体中投放艾滋病宣传图文，如屏蔽门贴、包柱、墙贴、灯箱等，为期一个月。</w:t>
            </w:r>
          </w:p>
          <w:p>
            <w:pPr>
              <w:pStyle w:val="null3"/>
            </w:pPr>
            <w:r>
              <w:rPr>
                <w:rFonts w:ascii="仿宋_GB2312" w:hAnsi="仿宋_GB2312" w:cs="仿宋_GB2312" w:eastAsia="仿宋_GB2312"/>
              </w:rPr>
              <w:t>（3）在1000辆公交车后LED屏滚动播放防艾标语，为期一个月。</w:t>
            </w:r>
          </w:p>
          <w:p>
            <w:pPr>
              <w:pStyle w:val="null3"/>
            </w:pPr>
            <w:r>
              <w:rPr>
                <w:rFonts w:ascii="仿宋_GB2312" w:hAnsi="仿宋_GB2312" w:cs="仿宋_GB2312" w:eastAsia="仿宋_GB2312"/>
              </w:rPr>
              <w:t>（4）在三季度策划举办防艾讲师大赛，面向全市在校老师、学生，各级医疗机构、疾控机构工作人员开展防艾宣讲大赛，组织专家评审，并在121宣传活动当天对获奖选手进行现场颁奖。供应商负责所有活动策划、落地执行与推广。</w:t>
            </w:r>
          </w:p>
          <w:p>
            <w:pPr>
              <w:pStyle w:val="null3"/>
            </w:pPr>
            <w:r>
              <w:rPr>
                <w:rFonts w:ascii="仿宋_GB2312" w:hAnsi="仿宋_GB2312" w:cs="仿宋_GB2312" w:eastAsia="仿宋_GB2312"/>
              </w:rPr>
              <w:t>（5）在11月中旬开展线上有奖问答活动，采取创意游戏形式答题，采购实物类奖品并向获奖者邮寄。</w:t>
            </w:r>
          </w:p>
          <w:p>
            <w:pPr>
              <w:pStyle w:val="null3"/>
            </w:pPr>
            <w:r>
              <w:rPr>
                <w:rFonts w:ascii="仿宋_GB2312" w:hAnsi="仿宋_GB2312" w:cs="仿宋_GB2312" w:eastAsia="仿宋_GB2312"/>
              </w:rPr>
              <w:t>（6）12月1日当天，在高校（场地待定）开展室内与户外相结合的创意大型宣传活动，除防艾讲师大赛颁奖仪式外，设计创意知识竞赛互动环节（如遇恶劣天气，需设计备用方案）。 供应商负责场地布置、活动策划、物料采购及落地执行等相关事宜。</w:t>
            </w:r>
          </w:p>
          <w:p>
            <w:pPr>
              <w:pStyle w:val="null3"/>
            </w:pPr>
            <w:r>
              <w:rPr>
                <w:rFonts w:ascii="仿宋_GB2312" w:hAnsi="仿宋_GB2312" w:cs="仿宋_GB2312" w:eastAsia="仿宋_GB2312"/>
              </w:rPr>
              <w:t>二、宣传载体</w:t>
            </w:r>
          </w:p>
          <w:p>
            <w:pPr>
              <w:pStyle w:val="null3"/>
            </w:pPr>
            <w:r>
              <w:rPr>
                <w:rFonts w:ascii="仿宋_GB2312" w:hAnsi="仿宋_GB2312" w:cs="仿宋_GB2312" w:eastAsia="仿宋_GB2312"/>
              </w:rPr>
              <w:t>可包括但不限于下列形式：</w:t>
            </w:r>
          </w:p>
          <w:p>
            <w:pPr>
              <w:pStyle w:val="null3"/>
            </w:pPr>
            <w:r>
              <w:rPr>
                <w:rFonts w:ascii="仿宋_GB2312" w:hAnsi="仿宋_GB2312" w:cs="仿宋_GB2312" w:eastAsia="仿宋_GB2312"/>
              </w:rPr>
              <w:t>1、传统媒体平台</w:t>
            </w:r>
          </w:p>
          <w:p>
            <w:pPr>
              <w:pStyle w:val="null3"/>
            </w:pPr>
            <w:r>
              <w:rPr>
                <w:rFonts w:ascii="仿宋_GB2312" w:hAnsi="仿宋_GB2312" w:cs="仿宋_GB2312" w:eastAsia="仿宋_GB2312"/>
              </w:rPr>
              <w:t>1）报纸、电视、广播；</w:t>
            </w:r>
          </w:p>
          <w:p>
            <w:pPr>
              <w:pStyle w:val="null3"/>
            </w:pPr>
            <w:r>
              <w:rPr>
                <w:rFonts w:ascii="仿宋_GB2312" w:hAnsi="仿宋_GB2312" w:cs="仿宋_GB2312" w:eastAsia="仿宋_GB2312"/>
              </w:rPr>
              <w:t>2）公共场所广告：影院映前广告、户外LED屏、公交车内外LED屏、地铁内相关媒体、机场/火车站/客运站相关媒体等。</w:t>
            </w:r>
          </w:p>
          <w:p>
            <w:pPr>
              <w:pStyle w:val="null3"/>
            </w:pPr>
            <w:r>
              <w:rPr>
                <w:rFonts w:ascii="仿宋_GB2312" w:hAnsi="仿宋_GB2312" w:cs="仿宋_GB2312" w:eastAsia="仿宋_GB2312"/>
              </w:rPr>
              <w:t>2、线上媒体平台</w:t>
            </w:r>
          </w:p>
          <w:p>
            <w:pPr>
              <w:pStyle w:val="null3"/>
            </w:pPr>
            <w:r>
              <w:rPr>
                <w:rFonts w:ascii="仿宋_GB2312" w:hAnsi="仿宋_GB2312" w:cs="仿宋_GB2312" w:eastAsia="仿宋_GB2312"/>
              </w:rPr>
              <w:t>网站首页、手机APP首页及弹窗、社交媒体平台首页及弹窗、微信朋友圈、公众号、手机短信等。</w:t>
            </w:r>
          </w:p>
          <w:p>
            <w:pPr>
              <w:pStyle w:val="null3"/>
            </w:pPr>
            <w:r>
              <w:rPr>
                <w:rFonts w:ascii="仿宋_GB2312" w:hAnsi="仿宋_GB2312" w:cs="仿宋_GB2312" w:eastAsia="仿宋_GB2312"/>
              </w:rPr>
              <w:t>3、落地活动</w:t>
            </w:r>
          </w:p>
          <w:p>
            <w:pPr>
              <w:pStyle w:val="null3"/>
            </w:pPr>
            <w:r>
              <w:rPr>
                <w:rFonts w:ascii="仿宋_GB2312" w:hAnsi="仿宋_GB2312" w:cs="仿宋_GB2312" w:eastAsia="仿宋_GB2312"/>
              </w:rPr>
              <w:t>创意主题活动、知识讲座、竞赛、户外宣传等。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合同签订之日起至2025年12月上旬</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服务期满后，由乙方向甲方递交验收通知书，经甲方确认后，组织乙方进行系统验收。 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同时提供授权代表由供应商缴纳的磋商日期前连续3个月的社保记录。</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招标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(1)磋商响应文件未按照磋商文件规定要求签署、盖章的；(2)不满足本磋商文件中“服务期限、服务地点、采购资金的支付方式及约定”的实质性条款要求的；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技术与服务响应偏离表.docx 中小企业声明函 残疾人福利性单位声明函 4承诺书.docx 1分项价格表.docx 标的清单 2商务部分偏离表.docx 报价表 响应函 3资格证明文件.docx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规范的服务体系和工作流程，针对本项目的宣传要求和各类项目宣传服务特点制订完善的整体服务方案，满足网络与线下相结合的宣传形式，贴合宣传主题，方案内容具体，实施思路清晰、科学合理、切实可行，满足采购人需求。 方案完全满足项目需求，无瑕疵计24分； 方案存在1处瑕疵计21分； 方案存在2处瑕疵计18分； 方案存在3处瑕疵计15分； 方案存在4处瑕疵计12分； 方案存在5处瑕疵计9分； 方案存在6处瑕疵计6分； 方案存在7处瑕疵计3分； 方案存在8处及以上瑕疵或未提供计0分。 本文所称“瑕疵”是指内容缺项、立意不清晰、不完整或缺少关键点；非专门针对本项目或不适用本项目特性、套用其他项目内容；对同一问题前后表述矛盾；存在逻辑漏洞、科学原理或常识错误；不利于本项目目标的实现、现有技术条件下不可能出现的情形等任意一种情形。后文有关瑕疵的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5整体服务方案.docx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针对不同类型的宣传项目拟执行时间及实施周期，供应商制定合理的宣传执行计划及进度保障方案，满足执行时间节点要求，确保项目如期完成。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6进度保障计划.docx</w:t>
            </w:r>
          </w:p>
        </w:tc>
      </w:tr>
      <w:tr>
        <w:tc>
          <w:tcPr>
            <w:tcW w:type="dxa" w:w="831"/>
            <w:vMerge/>
          </w:tcPr>
          <w:p/>
        </w:tc>
        <w:tc>
          <w:tcPr>
            <w:tcW w:type="dxa" w:w="1661"/>
          </w:tcPr>
          <w:p>
            <w:pPr>
              <w:pStyle w:val="null3"/>
            </w:pPr>
            <w:r>
              <w:rPr>
                <w:rFonts w:ascii="仿宋_GB2312" w:hAnsi="仿宋_GB2312" w:cs="仿宋_GB2312" w:eastAsia="仿宋_GB2312"/>
              </w:rPr>
              <w:t>宣传载体形式</w:t>
            </w:r>
          </w:p>
        </w:tc>
        <w:tc>
          <w:tcPr>
            <w:tcW w:type="dxa" w:w="2492"/>
          </w:tcPr>
          <w:p>
            <w:pPr>
              <w:pStyle w:val="null3"/>
            </w:pPr>
            <w:r>
              <w:rPr>
                <w:rFonts w:ascii="仿宋_GB2312" w:hAnsi="仿宋_GB2312" w:cs="仿宋_GB2312" w:eastAsia="仿宋_GB2312"/>
              </w:rPr>
              <w:t>针对本项目宣传内容及要求，为达到采购人对宣传效果的需求，供应商应提供拟采用的宣传载体形式，并对采用理由及预期效果进行详细阐述，可附相关成功案例辅助说明。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7宣传载体形式.docx</w:t>
            </w:r>
          </w:p>
        </w:tc>
      </w:tr>
      <w:tr>
        <w:tc>
          <w:tcPr>
            <w:tcW w:type="dxa" w:w="831"/>
            <w:vMerge/>
          </w:tcPr>
          <w:p/>
        </w:tc>
        <w:tc>
          <w:tcPr>
            <w:tcW w:type="dxa" w:w="1661"/>
          </w:tcPr>
          <w:p>
            <w:pPr>
              <w:pStyle w:val="null3"/>
            </w:pPr>
            <w:r>
              <w:rPr>
                <w:rFonts w:ascii="仿宋_GB2312" w:hAnsi="仿宋_GB2312" w:cs="仿宋_GB2312" w:eastAsia="仿宋_GB2312"/>
              </w:rPr>
              <w:t>媒体宣传维护方案</w:t>
            </w:r>
          </w:p>
        </w:tc>
        <w:tc>
          <w:tcPr>
            <w:tcW w:type="dxa" w:w="2492"/>
          </w:tcPr>
          <w:p>
            <w:pPr>
              <w:pStyle w:val="null3"/>
            </w:pPr>
            <w:r>
              <w:rPr>
                <w:rFonts w:ascii="仿宋_GB2312" w:hAnsi="仿宋_GB2312" w:cs="仿宋_GB2312" w:eastAsia="仿宋_GB2312"/>
              </w:rPr>
              <w:t>供应商针对本项目媒体宣传项目服务特点，保障媒体宣传点位、频次、时长制定维护方案，要求针对性强、合理可行、有具体维护计划、内容及维护时间。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8媒体宣传维护方案.docx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在项目执行过程中因不可抗力因素导致媒体宣传或现场活动临时调整等突发情况出现，供应商具有提前告知机制、优惠补偿方案及合理的应急处理方案。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9应急处理方案.docx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供应商提供拟派服务团队（项目总负责人除外）人员情况表、组织架构、证书、工作经验等证明材料，根据服务团队的人员配置、人员资质、专业、各岗位职责、丰富的工作经验等方面进行评分。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2022年1月1日至今拥有同类业绩合同 (以合同签订日期为准)，每提供1个得1分，最高得 5分，未提供不计分。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供应商需针对本项目提供具体可行的售后服务方案，在项目实施过程中及后续的工作程序中与采购人积极的配合程度提供相应服务承诺。 满足项目要求，无瑕疵：4分； 方案内容存在1处瑕疵：3分； 方案内容存在2处瑕疵：2分； 方案内容存在3处瑕疵：1分； 未提供方案或不满足磋商文件要求或内容存在4处及以上瑕疵：0分。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12售后服务及承诺.docx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针对本项目实施提供其他合理化建议及意见。 满足项目要求，无瑕疵：4分； 方案内容存在1处瑕疵：3分； 方案内容存在2处瑕疵：2分； 方案内容存在3处瑕疵：1分； 未提供方案或不满足磋商文件要求或内容存在4处及以上瑕疵：0分。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13合理化建议.docx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除采购人需求外，供应商还可提供其他实质性增值类服务。 满足项目要求，无瑕疵：6分； 方案内容存在1处瑕疵：4分； 方案内容存在2处瑕疵：2分； 未提供方案或不满足磋商文件要求或内容存在3处及以上瑕疵：0分。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详见附件：5整体服务方案.docx</w:t>
      </w:r>
    </w:p>
    <w:p>
      <w:pPr>
        <w:pStyle w:val="null3"/>
        <w:ind w:firstLine="960"/>
      </w:pPr>
      <w:r>
        <w:rPr>
          <w:rFonts w:ascii="仿宋_GB2312" w:hAnsi="仿宋_GB2312" w:cs="仿宋_GB2312" w:eastAsia="仿宋_GB2312"/>
        </w:rPr>
        <w:t>详见附件：6进度保障计划.docx</w:t>
      </w:r>
    </w:p>
    <w:p>
      <w:pPr>
        <w:pStyle w:val="null3"/>
        <w:ind w:firstLine="960"/>
      </w:pPr>
      <w:r>
        <w:rPr>
          <w:rFonts w:ascii="仿宋_GB2312" w:hAnsi="仿宋_GB2312" w:cs="仿宋_GB2312" w:eastAsia="仿宋_GB2312"/>
        </w:rPr>
        <w:t>详见附件：7宣传载体形式.docx</w:t>
      </w:r>
    </w:p>
    <w:p>
      <w:pPr>
        <w:pStyle w:val="null3"/>
        <w:ind w:firstLine="960"/>
      </w:pPr>
      <w:r>
        <w:rPr>
          <w:rFonts w:ascii="仿宋_GB2312" w:hAnsi="仿宋_GB2312" w:cs="仿宋_GB2312" w:eastAsia="仿宋_GB2312"/>
        </w:rPr>
        <w:t>详见附件：8媒体宣传维护方案.docx</w:t>
      </w:r>
    </w:p>
    <w:p>
      <w:pPr>
        <w:pStyle w:val="null3"/>
        <w:ind w:firstLine="960"/>
      </w:pPr>
      <w:r>
        <w:rPr>
          <w:rFonts w:ascii="仿宋_GB2312" w:hAnsi="仿宋_GB2312" w:cs="仿宋_GB2312" w:eastAsia="仿宋_GB2312"/>
        </w:rPr>
        <w:t>详见附件：9应急处理方案.docx</w:t>
      </w:r>
    </w:p>
    <w:p>
      <w:pPr>
        <w:pStyle w:val="null3"/>
        <w:ind w:firstLine="960"/>
      </w:pPr>
      <w:r>
        <w:rPr>
          <w:rFonts w:ascii="仿宋_GB2312" w:hAnsi="仿宋_GB2312" w:cs="仿宋_GB2312" w:eastAsia="仿宋_GB2312"/>
        </w:rPr>
        <w:t>详见附件：10服务团队.docx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详见附件：12售后服务及承诺.docx</w:t>
      </w:r>
    </w:p>
    <w:p>
      <w:pPr>
        <w:pStyle w:val="null3"/>
        <w:ind w:firstLine="960"/>
      </w:pPr>
      <w:r>
        <w:rPr>
          <w:rFonts w:ascii="仿宋_GB2312" w:hAnsi="仿宋_GB2312" w:cs="仿宋_GB2312" w:eastAsia="仿宋_GB2312"/>
        </w:rPr>
        <w:t>详见附件：13合理化建议.docx</w:t>
      </w:r>
    </w:p>
    <w:p>
      <w:pPr>
        <w:pStyle w:val="null3"/>
        <w:ind w:firstLine="960"/>
      </w:pPr>
      <w:r>
        <w:rPr>
          <w:rFonts w:ascii="仿宋_GB2312" w:hAnsi="仿宋_GB2312" w:cs="仿宋_GB2312" w:eastAsia="仿宋_GB2312"/>
        </w:rPr>
        <w:t>详见附件：14增值服务.docx</w:t>
      </w:r>
    </w:p>
    <w:p>
      <w:pPr>
        <w:pStyle w:val="null3"/>
        <w:ind w:firstLine="960"/>
      </w:pPr>
      <w:r>
        <w:rPr>
          <w:rFonts w:ascii="仿宋_GB2312" w:hAnsi="仿宋_GB2312" w:cs="仿宋_GB2312" w:eastAsia="仿宋_GB2312"/>
        </w:rPr>
        <w:t>详见附件：技术与服务响应偏离表.docx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