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版本号：ZSZX-2025-070520250722001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巡查及核查保障项目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ZSZX-2025-0705</w:t>
      </w:r>
      <w:r>
        <w:br/>
      </w:r>
      <w:r>
        <w:br/>
      </w:r>
      <w:r>
        <w:br/>
      </w:r>
    </w:p>
    <w:p>
      <w:pPr>
        <w:pStyle w:val="null3"/>
        <w:jc w:val="center"/>
        <w:outlineLvl w:val="2"/>
      </w:pPr>
      <w:r>
        <w:rPr>
          <w:rFonts w:ascii="仿宋_GB2312" w:hAnsi="仿宋_GB2312" w:cs="仿宋_GB2312" w:eastAsia="仿宋_GB2312"/>
          <w:sz w:val="28"/>
          <w:b/>
        </w:rPr>
        <w:t>西安市水务管理服务中心</w:t>
      </w:r>
    </w:p>
    <w:p>
      <w:pPr>
        <w:pStyle w:val="null3"/>
        <w:jc w:val="center"/>
        <w:outlineLvl w:val="2"/>
      </w:pPr>
      <w:r>
        <w:rPr>
          <w:rFonts w:ascii="仿宋_GB2312" w:hAnsi="仿宋_GB2312" w:cs="仿宋_GB2312" w:eastAsia="仿宋_GB2312"/>
          <w:sz w:val="28"/>
          <w:b/>
        </w:rPr>
        <w:t>中陕工程咨询有限公司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中陕工程咨询有限公司</w:t>
      </w:r>
      <w:r>
        <w:rPr>
          <w:rFonts w:ascii="仿宋_GB2312" w:hAnsi="仿宋_GB2312" w:cs="仿宋_GB2312" w:eastAsia="仿宋_GB2312"/>
        </w:rPr>
        <w:t>（以下简称“代理机构”）受</w:t>
      </w:r>
      <w:r>
        <w:rPr>
          <w:rFonts w:ascii="仿宋_GB2312" w:hAnsi="仿宋_GB2312" w:cs="仿宋_GB2312" w:eastAsia="仿宋_GB2312"/>
        </w:rPr>
        <w:t>西安市水务管理服务中心</w:t>
      </w:r>
      <w:r>
        <w:rPr>
          <w:rFonts w:ascii="仿宋_GB2312" w:hAnsi="仿宋_GB2312" w:cs="仿宋_GB2312" w:eastAsia="仿宋_GB2312"/>
        </w:rPr>
        <w:t>委托，拟对</w:t>
      </w:r>
      <w:r>
        <w:rPr>
          <w:rFonts w:ascii="仿宋_GB2312" w:hAnsi="仿宋_GB2312" w:cs="仿宋_GB2312" w:eastAsia="仿宋_GB2312"/>
        </w:rPr>
        <w:t>巡查及核查保障项目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ZSZX-2025-0705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巡查及核查保障项目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巡查及核查保障项目，该项目为保障水行政执法的前期核查及全市涉水线索巡查工作正常开展设立。通过该项目的实施，西安市水务管理服务中心能够促进全市水事行为有序、规范化开展，能够提高群众的水法规意识，能够为我市推进最严格水资源管理制度，节约、保护我市水资源奠定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采购包1（巡查及核查保障项目）：属于专门面向中小企业采购。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1、法定代表人身份证明书或法定代表人授权委托书：非法定代表人参加投标的，须提供法定代表人委托授权书及被授权人身份证，法定代表人参加投标时,只需提供法定代表人身份证。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2、本项目专门面向中小企业采购：仅限符合《政府采购促进中小企业发展管理办法》（财库〔2020〕46 号）条件的中小企业参与，供应商应填写中小企业声明函并对真实性负责。</w:t>
      </w:r>
    </w:p>
    <w:p>
      <w:pPr>
        <w:pStyle w:val="null3"/>
      </w:pPr>
      <w:r>
        <w:rPr>
          <w:rFonts w:ascii="仿宋_GB2312" w:hAnsi="仿宋_GB2312" w:cs="仿宋_GB2312" w:eastAsia="仿宋_GB2312"/>
        </w:rPr>
        <w:t>3、不接受联合体磋商：本项目不接受联合体磋商，不允许分包。提供《非联合体参加声明函》。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029-62645346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中陕工程咨询有限公司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陕西省西安市碑林区陕西省西安市碑林区长安北路1号陕西国际会展大厦1幢1单元27层12701号房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汪伟伟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029-62939888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 [2003]857号通知规定计算收取，不足6000.00元按6000.00元收取，由中标/成交供应商支付代理服务费。 收款账户如下 ： 收款单位：中陕工程咨询有限公司 开户银行：中国光大银行股份有限公司西安分行营业部 银行账号：78550188000522647 转账时请备注：ZSZX-2025-0705代理服务费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西安市水务管理服务中心</w:t>
      </w:r>
      <w:r>
        <w:rPr>
          <w:rFonts w:ascii="仿宋_GB2312" w:hAnsi="仿宋_GB2312" w:cs="仿宋_GB2312" w:eastAsia="仿宋_GB2312"/>
        </w:rPr>
        <w:t>和</w:t>
      </w:r>
      <w:r>
        <w:rPr>
          <w:rFonts w:ascii="仿宋_GB2312" w:hAnsi="仿宋_GB2312" w:cs="仿宋_GB2312" w:eastAsia="仿宋_GB2312"/>
        </w:rPr>
        <w:t>中陕工程咨询有限公司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中陕工程咨询有限公司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中陕工程咨询有限公司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联系人：汪伟伟</w:t>
      </w:r>
    </w:p>
    <w:p>
      <w:pPr>
        <w:pStyle w:val="null3"/>
      </w:pPr>
      <w:r>
        <w:rPr>
          <w:rFonts w:ascii="仿宋_GB2312" w:hAnsi="仿宋_GB2312" w:cs="仿宋_GB2312" w:eastAsia="仿宋_GB2312"/>
        </w:rPr>
        <w:t>联系电话：029-62939888</w:t>
      </w:r>
    </w:p>
    <w:p>
      <w:pPr>
        <w:pStyle w:val="null3"/>
      </w:pPr>
      <w:r>
        <w:rPr>
          <w:rFonts w:ascii="仿宋_GB2312" w:hAnsi="仿宋_GB2312" w:cs="仿宋_GB2312" w:eastAsia="仿宋_GB2312"/>
        </w:rPr>
        <w:t>地址：陕西省西安市碑林区长安北路1号陕西国际会展大厦1幢1单元27层12701号房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巡查及核查保障项目，该项目为保障水行政执法的前期核查及全市涉水线索巡查工作正常开展设立。通过该项目的实施，西安市水务管理服务中心能够促进全市水事行为有序、规范化开展，能够提高群众的水法规意识，能够为我市推进最严格水资源管理制度，节约、保护我市水资源奠定基础。项目包括特种设备服务费43.4万元（其中装载机服务12台班共计2.76万元，挖掘机服务12台班共计4.2万元，卫星电话8台共计7.64万元，移动手机10台共计2.16万元，计量监测设备服务36次共计7.56万元，水事监测设备服务36次共计9万元，地下水监测设备服务36次共计10.08万元）；线索核查无人机监测24万元（全年48次，单次费用0.5万元）；其他设备服务2.6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巡查及核查保障项目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标的名称：巡查及核查保障项目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、核查设备保障</w:t>
            </w:r>
          </w:p>
          <w:p>
            <w:pPr>
              <w:pStyle w:val="null3"/>
            </w:pPr>
            <w:r>
              <w:rPr>
                <w:rFonts w:ascii="仿宋_GB2312" w:hAnsi="仿宋_GB2312" w:cs="仿宋_GB2312" w:eastAsia="仿宋_GB2312"/>
              </w:rPr>
              <w:t>（一）提供（租赁）移动通讯设备</w:t>
            </w:r>
            <w:r>
              <w:rPr>
                <w:rFonts w:ascii="仿宋_GB2312" w:hAnsi="仿宋_GB2312" w:cs="仿宋_GB2312" w:eastAsia="仿宋_GB2312"/>
              </w:rPr>
              <w:t>1</w:t>
            </w:r>
            <w:r>
              <w:rPr>
                <w:rFonts w:ascii="仿宋_GB2312" w:hAnsi="仿宋_GB2312" w:cs="仿宋_GB2312" w:eastAsia="仿宋_GB2312"/>
              </w:rPr>
              <w:t>8</w:t>
            </w:r>
            <w:r>
              <w:rPr>
                <w:rFonts w:ascii="仿宋_GB2312" w:hAnsi="仿宋_GB2312" w:cs="仿宋_GB2312" w:eastAsia="仿宋_GB2312"/>
              </w:rPr>
              <w:t>台，其中</w:t>
            </w:r>
            <w:r>
              <w:rPr>
                <w:rFonts w:ascii="仿宋_GB2312" w:hAnsi="仿宋_GB2312" w:cs="仿宋_GB2312" w:eastAsia="仿宋_GB2312"/>
              </w:rPr>
              <w:t>8</w:t>
            </w:r>
            <w:r>
              <w:rPr>
                <w:rFonts w:ascii="仿宋_GB2312" w:hAnsi="仿宋_GB2312" w:cs="仿宋_GB2312" w:eastAsia="仿宋_GB2312"/>
              </w:rPr>
              <w:t>台卫星电话（安卓系统），</w:t>
            </w:r>
            <w:r>
              <w:rPr>
                <w:rFonts w:ascii="仿宋_GB2312" w:hAnsi="仿宋_GB2312" w:cs="仿宋_GB2312" w:eastAsia="仿宋_GB2312"/>
              </w:rPr>
              <w:t>10</w:t>
            </w:r>
            <w:r>
              <w:rPr>
                <w:rFonts w:ascii="仿宋_GB2312" w:hAnsi="仿宋_GB2312" w:cs="仿宋_GB2312" w:eastAsia="仿宋_GB2312"/>
              </w:rPr>
              <w:t>台移动手机（安卓系统），确保通讯畅通。</w:t>
            </w:r>
          </w:p>
          <w:tbl>
            <w:tblPr>
              <w:tblInd w:type="dxa" w:w="105"/>
              <w:tblBorders>
                <w:top w:val="none" w:color="000000" w:sz="4"/>
                <w:left w:val="none" w:color="000000" w:sz="4"/>
                <w:bottom w:val="none" w:color="000000" w:sz="4"/>
                <w:right w:val="none" w:color="000000" w:sz="4"/>
                <w:insideH w:val="none"/>
                <w:insideV w:val="none"/>
              </w:tblBorders>
            </w:tblPr>
            <w:tblGrid>
              <w:gridCol w:w="198"/>
              <w:gridCol w:w="544"/>
              <w:gridCol w:w="185"/>
              <w:gridCol w:w="215"/>
              <w:gridCol w:w="1400"/>
            </w:tblGrid>
            <w:tr>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序号</w:t>
                  </w:r>
                </w:p>
              </w:tc>
              <w:tc>
                <w:tcPr>
                  <w:tcW w:type="dxa" w:w="5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设备名称</w:t>
                  </w:r>
                </w:p>
              </w:tc>
              <w:tc>
                <w:tcPr>
                  <w:tcW w:type="dxa" w:w="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单位</w:t>
                  </w:r>
                </w:p>
              </w:tc>
              <w:tc>
                <w:tcPr>
                  <w:tcW w:type="dxa" w:w="2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数量</w:t>
                  </w:r>
                </w:p>
              </w:tc>
              <w:tc>
                <w:tcPr>
                  <w:tcW w:type="dxa" w:w="14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技术要求</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卫星电话</w:t>
                  </w:r>
                </w:p>
                <w:p>
                  <w:pPr>
                    <w:pStyle w:val="null3"/>
                    <w:jc w:val="center"/>
                  </w:pPr>
                  <w:r>
                    <w:rPr>
                      <w:rFonts w:ascii="仿宋_GB2312" w:hAnsi="仿宋_GB2312" w:cs="仿宋_GB2312" w:eastAsia="仿宋_GB2312"/>
                    </w:rPr>
                    <w:t>（</w:t>
                  </w:r>
                  <w:r>
                    <w:rPr>
                      <w:rFonts w:ascii="仿宋_GB2312" w:hAnsi="仿宋_GB2312" w:cs="仿宋_GB2312" w:eastAsia="仿宋_GB2312"/>
                    </w:rPr>
                    <w:t>Android 系统）</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台</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8</w:t>
                  </w: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1.显示屏： ≥2.8 英寸</w:t>
                  </w:r>
                </w:p>
                <w:p>
                  <w:pPr>
                    <w:pStyle w:val="null3"/>
                    <w:jc w:val="left"/>
                  </w:pPr>
                  <w:r>
                    <w:rPr>
                      <w:rFonts w:ascii="仿宋_GB2312" w:hAnsi="仿宋_GB2312" w:cs="仿宋_GB2312" w:eastAsia="仿宋_GB2312"/>
                    </w:rPr>
                    <w:t>2.摄像头：前置≥500 万像素，后置≥1300 万</w:t>
                  </w:r>
                </w:p>
                <w:p>
                  <w:pPr>
                    <w:pStyle w:val="null3"/>
                    <w:jc w:val="left"/>
                  </w:pPr>
                  <w:r>
                    <w:rPr>
                      <w:rFonts w:ascii="仿宋_GB2312" w:hAnsi="仿宋_GB2312" w:cs="仿宋_GB2312" w:eastAsia="仿宋_GB2312"/>
                    </w:rPr>
                    <w:t>3.内存：运行内存≥1GB,存储内存≥8GB</w:t>
                  </w:r>
                </w:p>
                <w:p>
                  <w:pPr>
                    <w:pStyle w:val="null3"/>
                    <w:jc w:val="left"/>
                  </w:pPr>
                  <w:r>
                    <w:rPr>
                      <w:rFonts w:ascii="仿宋_GB2312" w:hAnsi="仿宋_GB2312" w:cs="仿宋_GB2312" w:eastAsia="仿宋_GB2312"/>
                    </w:rPr>
                    <w:t>4.外部接 口：支持耳机、蓝牙、WiFi、USB</w:t>
                  </w:r>
                </w:p>
                <w:p>
                  <w:pPr>
                    <w:pStyle w:val="null3"/>
                    <w:jc w:val="left"/>
                  </w:pPr>
                  <w:r>
                    <w:rPr>
                      <w:rFonts w:ascii="仿宋_GB2312" w:hAnsi="仿宋_GB2312" w:cs="仿宋_GB2312" w:eastAsia="仿宋_GB2312"/>
                    </w:rPr>
                    <w:t>5.电池容量： ≥5000mAH</w:t>
                  </w:r>
                </w:p>
                <w:p>
                  <w:pPr>
                    <w:pStyle w:val="null3"/>
                    <w:jc w:val="left"/>
                  </w:pPr>
                  <w:r>
                    <w:rPr>
                      <w:rFonts w:ascii="仿宋_GB2312" w:hAnsi="仿宋_GB2312" w:cs="仿宋_GB2312" w:eastAsia="仿宋_GB2312"/>
                    </w:rPr>
                    <w:t>6.按键：紧急呼叫、一键 SOS</w:t>
                  </w:r>
                </w:p>
                <w:p>
                  <w:pPr>
                    <w:pStyle w:val="null3"/>
                    <w:jc w:val="left"/>
                  </w:pPr>
                  <w:r>
                    <w:rPr>
                      <w:rFonts w:ascii="仿宋_GB2312" w:hAnsi="仿宋_GB2312" w:cs="仿宋_GB2312" w:eastAsia="仿宋_GB2312"/>
                    </w:rPr>
                    <w:t>7.通讯模式：单模，支持北斗 +GPS+GLONASS+GALILEO</w:t>
                  </w:r>
                </w:p>
                <w:p>
                  <w:pPr>
                    <w:pStyle w:val="null3"/>
                    <w:jc w:val="left"/>
                  </w:pPr>
                  <w:r>
                    <w:rPr>
                      <w:rFonts w:ascii="仿宋_GB2312" w:hAnsi="仿宋_GB2312" w:cs="仿宋_GB2312" w:eastAsia="仿宋_GB2312"/>
                    </w:rPr>
                    <w:t>8.防护等级：IP65</w:t>
                  </w:r>
                </w:p>
                <w:p>
                  <w:pPr>
                    <w:pStyle w:val="null3"/>
                    <w:jc w:val="left"/>
                  </w:pPr>
                  <w:r>
                    <w:rPr>
                      <w:rFonts w:ascii="仿宋_GB2312" w:hAnsi="仿宋_GB2312" w:cs="仿宋_GB2312" w:eastAsia="仿宋_GB2312"/>
                    </w:rPr>
                    <w:t>9.基本功能：PTT 对讲、应急强光手电筒、辅助 队形、紧急呼叫</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移动手机</w:t>
                  </w:r>
                </w:p>
                <w:p>
                  <w:pPr>
                    <w:pStyle w:val="null3"/>
                    <w:jc w:val="center"/>
                  </w:pPr>
                  <w:r>
                    <w:rPr>
                      <w:rFonts w:ascii="仿宋_GB2312" w:hAnsi="仿宋_GB2312" w:cs="仿宋_GB2312" w:eastAsia="仿宋_GB2312"/>
                    </w:rPr>
                    <w:t>（</w:t>
                  </w:r>
                  <w:r>
                    <w:rPr>
                      <w:rFonts w:ascii="仿宋_GB2312" w:hAnsi="仿宋_GB2312" w:cs="仿宋_GB2312" w:eastAsia="仿宋_GB2312"/>
                    </w:rPr>
                    <w:t>Android 系统）</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台</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10</w:t>
                  </w: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1.显示屏： ≥5.0 英寸</w:t>
                  </w:r>
                </w:p>
                <w:p>
                  <w:pPr>
                    <w:pStyle w:val="null3"/>
                    <w:jc w:val="left"/>
                  </w:pPr>
                  <w:r>
                    <w:rPr>
                      <w:rFonts w:ascii="仿宋_GB2312" w:hAnsi="仿宋_GB2312" w:cs="仿宋_GB2312" w:eastAsia="仿宋_GB2312"/>
                    </w:rPr>
                    <w:t>2.摄像头：前置≥800 万像素，后置≥2000 万</w:t>
                  </w:r>
                </w:p>
                <w:p>
                  <w:pPr>
                    <w:pStyle w:val="null3"/>
                    <w:jc w:val="left"/>
                  </w:pPr>
                  <w:r>
                    <w:rPr>
                      <w:rFonts w:ascii="仿宋_GB2312" w:hAnsi="仿宋_GB2312" w:cs="仿宋_GB2312" w:eastAsia="仿宋_GB2312"/>
                    </w:rPr>
                    <w:t>3.内存：运行内存≥8GB,存储内存≥128GB</w:t>
                  </w:r>
                </w:p>
                <w:p>
                  <w:pPr>
                    <w:pStyle w:val="null3"/>
                    <w:jc w:val="left"/>
                  </w:pPr>
                  <w:r>
                    <w:rPr>
                      <w:rFonts w:ascii="仿宋_GB2312" w:hAnsi="仿宋_GB2312" w:cs="仿宋_GB2312" w:eastAsia="仿宋_GB2312"/>
                    </w:rPr>
                    <w:t>4.外部接 口：双卡双待、支持耳机、蓝牙、WiFi</w:t>
                  </w:r>
                </w:p>
                <w:p>
                  <w:pPr>
                    <w:pStyle w:val="null3"/>
                    <w:jc w:val="left"/>
                  </w:pPr>
                  <w:r>
                    <w:rPr>
                      <w:rFonts w:ascii="仿宋_GB2312" w:hAnsi="仿宋_GB2312" w:cs="仿宋_GB2312" w:eastAsia="仿宋_GB2312"/>
                    </w:rPr>
                    <w:t>5.电池容量： ≥4000mAH</w:t>
                  </w:r>
                </w:p>
                <w:p>
                  <w:pPr>
                    <w:pStyle w:val="null3"/>
                    <w:jc w:val="left"/>
                  </w:pPr>
                  <w:r>
                    <w:rPr>
                      <w:rFonts w:ascii="仿宋_GB2312" w:hAnsi="仿宋_GB2312" w:cs="仿宋_GB2312" w:eastAsia="仿宋_GB2312"/>
                    </w:rPr>
                    <w:t>6.网络支持：2G/3G，4G</w:t>
                  </w:r>
                </w:p>
                <w:p>
                  <w:pPr>
                    <w:pStyle w:val="null3"/>
                    <w:jc w:val="left"/>
                  </w:pPr>
                  <w:r>
                    <w:rPr>
                      <w:rFonts w:ascii="仿宋_GB2312" w:hAnsi="仿宋_GB2312" w:cs="仿宋_GB2312" w:eastAsia="仿宋_GB2312"/>
                    </w:rPr>
                    <w:t>7.支持人脸识别、屏幕指纹</w:t>
                  </w:r>
                </w:p>
              </w:tc>
            </w:tr>
          </w:tbl>
          <w:p>
            <w:pPr>
              <w:pStyle w:val="null3"/>
            </w:pPr>
            <w:r>
              <w:rPr>
                <w:rFonts w:ascii="仿宋_GB2312" w:hAnsi="仿宋_GB2312" w:cs="仿宋_GB2312" w:eastAsia="仿宋_GB2312"/>
              </w:rPr>
              <w:t>（二）提供执法过程中需要的大中型设备租赁，包括但不限于以下内容：</w:t>
            </w:r>
          </w:p>
          <w:tbl>
            <w:tblPr>
              <w:tblInd w:type="dxa" w:w="105"/>
              <w:tblBorders>
                <w:top w:val="none" w:color="000000" w:sz="4"/>
                <w:left w:val="none" w:color="000000" w:sz="4"/>
                <w:bottom w:val="none" w:color="000000" w:sz="4"/>
                <w:right w:val="none" w:color="000000" w:sz="4"/>
                <w:insideH w:val="none"/>
                <w:insideV w:val="none"/>
              </w:tblBorders>
            </w:tblPr>
            <w:tblGrid>
              <w:gridCol w:w="139"/>
              <w:gridCol w:w="265"/>
              <w:gridCol w:w="632"/>
              <w:gridCol w:w="210"/>
              <w:gridCol w:w="215"/>
              <w:gridCol w:w="261"/>
              <w:gridCol w:w="814"/>
            </w:tblGrid>
            <w:tr>
              <w:tc>
                <w:tcPr>
                  <w:tcW w:type="dxa" w:w="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序号</w:t>
                  </w:r>
                </w:p>
              </w:tc>
              <w:tc>
                <w:tcPr>
                  <w:tcW w:type="dxa" w:w="2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设备名</w:t>
                  </w:r>
                  <w:r>
                    <w:rPr>
                      <w:rFonts w:ascii="仿宋_GB2312" w:hAnsi="仿宋_GB2312" w:cs="仿宋_GB2312" w:eastAsia="仿宋_GB2312"/>
                    </w:rPr>
                    <w:t>称</w:t>
                  </w:r>
                </w:p>
              </w:tc>
              <w:tc>
                <w:tcPr>
                  <w:tcW w:type="dxa" w:w="6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规格型号</w:t>
                  </w:r>
                </w:p>
              </w:tc>
              <w:tc>
                <w:tcPr>
                  <w:tcW w:type="dxa" w:w="2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单位</w:t>
                  </w:r>
                </w:p>
              </w:tc>
              <w:tc>
                <w:tcPr>
                  <w:tcW w:type="dxa" w:w="2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数量</w:t>
                  </w:r>
                </w:p>
              </w:tc>
              <w:tc>
                <w:tcPr>
                  <w:tcW w:type="dxa" w:w="2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计划租</w:t>
                  </w:r>
                </w:p>
                <w:p>
                  <w:pPr>
                    <w:pStyle w:val="null3"/>
                    <w:jc w:val="center"/>
                  </w:pPr>
                  <w:r>
                    <w:rPr>
                      <w:rFonts w:ascii="仿宋_GB2312" w:hAnsi="仿宋_GB2312" w:cs="仿宋_GB2312" w:eastAsia="仿宋_GB2312"/>
                    </w:rPr>
                    <w:t>赁数量</w:t>
                  </w:r>
                </w:p>
              </w:tc>
              <w:tc>
                <w:tcPr>
                  <w:tcW w:type="dxa" w:w="8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备注</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挖掘机</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1.0m3（额定斗容）</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台</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w:t>
                  </w:r>
                  <w:r>
                    <w:rPr>
                      <w:rFonts w:ascii="仿宋_GB2312" w:hAnsi="仿宋_GB2312" w:cs="仿宋_GB2312" w:eastAsia="仿宋_GB2312"/>
                    </w:rPr>
                    <w:t>（台班）</w:t>
                  </w:r>
                </w:p>
              </w:tc>
              <w:tc>
                <w:tcPr>
                  <w:tcW w:type="dxa" w:w="8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服务周期内不定期使用，</w:t>
                  </w:r>
                  <w:r>
                    <w:rPr>
                      <w:rFonts w:ascii="仿宋_GB2312" w:hAnsi="仿宋_GB2312" w:cs="仿宋_GB2312" w:eastAsia="仿宋_GB2312"/>
                    </w:rPr>
                    <w:t>累计使用台班不超过</w:t>
                  </w:r>
                  <w:r>
                    <w:rPr>
                      <w:rFonts w:ascii="仿宋_GB2312" w:hAnsi="仿宋_GB2312" w:cs="仿宋_GB2312" w:eastAsia="仿宋_GB2312"/>
                    </w:rPr>
                    <w:t>12</w:t>
                  </w:r>
                  <w:r>
                    <w:rPr>
                      <w:rFonts w:ascii="仿宋_GB2312" w:hAnsi="仿宋_GB2312" w:cs="仿宋_GB2312" w:eastAsia="仿宋_GB2312"/>
                    </w:rPr>
                    <w:t>台班，包含机械设备操作手</w:t>
                  </w:r>
                  <w:r>
                    <w:rPr>
                      <w:rFonts w:ascii="仿宋_GB2312" w:hAnsi="仿宋_GB2312" w:cs="仿宋_GB2312" w:eastAsia="仿宋_GB2312"/>
                    </w:rPr>
                    <w:t>, 设备进出场等全部费用</w:t>
                  </w:r>
                  <w:r>
                    <w:rPr>
                      <w:rFonts w:ascii="仿宋_GB2312" w:hAnsi="仿宋_GB2312" w:cs="仿宋_GB2312" w:eastAsia="仿宋_GB2312"/>
                    </w:rPr>
                    <w:t>。</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装载机</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3.0m3（额定斗容）</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台</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w:t>
                  </w:r>
                  <w:r>
                    <w:rPr>
                      <w:rFonts w:ascii="仿宋_GB2312" w:hAnsi="仿宋_GB2312" w:cs="仿宋_GB2312" w:eastAsia="仿宋_GB2312"/>
                    </w:rPr>
                    <w:t>（台班）</w:t>
                  </w:r>
                </w:p>
              </w:tc>
              <w:tc>
                <w:tcPr>
                  <w:tcW w:type="dxa" w:w="814"/>
                  <w:vMerge/>
                  <w:tcBorders>
                    <w:top w:val="none" w:color="000000" w:sz="4"/>
                    <w:left w:val="single" w:color="000000" w:sz="4"/>
                    <w:bottom w:val="none" w:color="000000" w:sz="4"/>
                    <w:right w:val="single" w:color="000000" w:sz="4"/>
                  </w:tcBorders>
                </w:tcP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计量</w:t>
                  </w:r>
                  <w:r>
                    <w:rPr>
                      <w:rFonts w:ascii="仿宋_GB2312" w:hAnsi="仿宋_GB2312" w:cs="仿宋_GB2312" w:eastAsia="仿宋_GB2312"/>
                    </w:rPr>
                    <w:t>监</w:t>
                  </w:r>
                </w:p>
                <w:p>
                  <w:pPr>
                    <w:pStyle w:val="null3"/>
                    <w:jc w:val="center"/>
                  </w:pPr>
                  <w:r>
                    <w:rPr>
                      <w:rFonts w:ascii="仿宋_GB2312" w:hAnsi="仿宋_GB2312" w:cs="仿宋_GB2312" w:eastAsia="仿宋_GB2312"/>
                    </w:rPr>
                    <w:t>测设备</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测量流速范围（</w:t>
                  </w:r>
                  <w:r>
                    <w:rPr>
                      <w:rFonts w:ascii="仿宋_GB2312" w:hAnsi="仿宋_GB2312" w:cs="仿宋_GB2312" w:eastAsia="仿宋_GB2312"/>
                    </w:rPr>
                    <w:t>m/s)：</w:t>
                  </w:r>
                </w:p>
                <w:p>
                  <w:pPr>
                    <w:pStyle w:val="null3"/>
                    <w:jc w:val="center"/>
                  </w:pPr>
                  <w:r>
                    <w:rPr>
                      <w:rFonts w:ascii="仿宋_GB2312" w:hAnsi="仿宋_GB2312" w:cs="仿宋_GB2312" w:eastAsia="仿宋_GB2312"/>
                    </w:rPr>
                    <w:t>0.03-5.00；</w:t>
                  </w:r>
                </w:p>
                <w:p>
                  <w:pPr>
                    <w:pStyle w:val="null3"/>
                    <w:jc w:val="center"/>
                  </w:pPr>
                  <w:r>
                    <w:rPr>
                      <w:rFonts w:ascii="仿宋_GB2312" w:hAnsi="仿宋_GB2312" w:cs="仿宋_GB2312" w:eastAsia="仿宋_GB2312"/>
                    </w:rPr>
                    <w:t>测量管道管径范围（</w:t>
                  </w:r>
                  <w:r>
                    <w:rPr>
                      <w:rFonts w:ascii="仿宋_GB2312" w:hAnsi="仿宋_GB2312" w:cs="仿宋_GB2312" w:eastAsia="仿宋_GB2312"/>
                    </w:rPr>
                    <w:t>cm） 2cm-80cm；水深测量范围 （m）：0.1m-5m；精度： ±1.0%±1cm/s。</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台（套）</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36</w:t>
                  </w:r>
                  <w:r>
                    <w:rPr>
                      <w:rFonts w:ascii="仿宋_GB2312" w:hAnsi="仿宋_GB2312" w:cs="仿宋_GB2312" w:eastAsia="仿宋_GB2312"/>
                    </w:rPr>
                    <w:t>次</w:t>
                  </w: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满足市政管道、河道、渠道等</w:t>
                  </w:r>
                  <w:r>
                    <w:rPr>
                      <w:rFonts w:ascii="仿宋_GB2312" w:hAnsi="仿宋_GB2312" w:cs="仿宋_GB2312" w:eastAsia="仿宋_GB2312"/>
                    </w:rPr>
                    <w:t>计量</w:t>
                  </w:r>
                  <w:r>
                    <w:rPr>
                      <w:rFonts w:ascii="仿宋_GB2312" w:hAnsi="仿宋_GB2312" w:cs="仿宋_GB2312" w:eastAsia="仿宋_GB2312"/>
                    </w:rPr>
                    <w:t>检测使用，并提供检测设备操作技术人员支持。服务周期内不定期</w:t>
                  </w:r>
                  <w:r>
                    <w:rPr>
                      <w:rFonts w:ascii="仿宋_GB2312" w:hAnsi="仿宋_GB2312" w:cs="仿宋_GB2312" w:eastAsia="仿宋_GB2312"/>
                    </w:rPr>
                    <w:t>使用，累计使用次数不超过</w:t>
                  </w:r>
                  <w:r>
                    <w:rPr>
                      <w:rFonts w:ascii="仿宋_GB2312" w:hAnsi="仿宋_GB2312" w:cs="仿宋_GB2312" w:eastAsia="仿宋_GB2312"/>
                    </w:rPr>
                    <w:t>36次</w:t>
                  </w:r>
                  <w:r>
                    <w:rPr>
                      <w:rFonts w:ascii="仿宋_GB2312" w:hAnsi="仿宋_GB2312" w:cs="仿宋_GB2312" w:eastAsia="仿宋_GB2312"/>
                    </w:rPr>
                    <w:t>，每次使用时长在</w:t>
                  </w:r>
                  <w:r>
                    <w:rPr>
                      <w:rFonts w:ascii="仿宋_GB2312" w:hAnsi="仿宋_GB2312" w:cs="仿宋_GB2312" w:eastAsia="仿宋_GB2312"/>
                    </w:rPr>
                    <w:t>8小时内。</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地下水监测设备</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接收机：深度范围</w:t>
                  </w:r>
                  <w:r>
                    <w:rPr>
                      <w:rFonts w:ascii="仿宋_GB2312" w:hAnsi="仿宋_GB2312" w:cs="仿宋_GB2312" w:eastAsia="仿宋_GB2312"/>
                    </w:rPr>
                    <w:t>6m，定</w:t>
                  </w:r>
                </w:p>
                <w:p>
                  <w:pPr>
                    <w:pStyle w:val="null3"/>
                    <w:jc w:val="center"/>
                  </w:pPr>
                  <w:r>
                    <w:rPr>
                      <w:rFonts w:ascii="仿宋_GB2312" w:hAnsi="仿宋_GB2312" w:cs="仿宋_GB2312" w:eastAsia="仿宋_GB2312"/>
                    </w:rPr>
                    <w:t>位精度</w:t>
                  </w:r>
                  <w:r>
                    <w:rPr>
                      <w:rFonts w:ascii="仿宋_GB2312" w:hAnsi="仿宋_GB2312" w:cs="仿宋_GB2312" w:eastAsia="仿宋_GB2312"/>
                    </w:rPr>
                    <w:t>±5%，工作频率为</w:t>
                  </w:r>
                </w:p>
                <w:p>
                  <w:pPr>
                    <w:pStyle w:val="null3"/>
                    <w:jc w:val="center"/>
                  </w:pPr>
                  <w:r>
                    <w:rPr>
                      <w:rFonts w:ascii="仿宋_GB2312" w:hAnsi="仿宋_GB2312" w:cs="仿宋_GB2312" w:eastAsia="仿宋_GB2312"/>
                    </w:rPr>
                    <w:t>无线电、</w:t>
                  </w:r>
                  <w:r>
                    <w:rPr>
                      <w:rFonts w:ascii="仿宋_GB2312" w:hAnsi="仿宋_GB2312" w:cs="仿宋_GB2312" w:eastAsia="仿宋_GB2312"/>
                    </w:rPr>
                    <w:t>50Hz、100Hz、</w:t>
                  </w:r>
                </w:p>
                <w:p>
                  <w:pPr>
                    <w:pStyle w:val="null3"/>
                    <w:jc w:val="center"/>
                  </w:pPr>
                  <w:r>
                    <w:rPr>
                      <w:rFonts w:ascii="仿宋_GB2312" w:hAnsi="仿宋_GB2312" w:cs="仿宋_GB2312" w:eastAsia="仿宋_GB2312"/>
                    </w:rPr>
                    <w:t>512Hz、33KHz、83KHz等</w:t>
                  </w:r>
                </w:p>
                <w:p>
                  <w:pPr>
                    <w:pStyle w:val="null3"/>
                    <w:jc w:val="center"/>
                  </w:pPr>
                  <w:r>
                    <w:rPr>
                      <w:rFonts w:ascii="仿宋_GB2312" w:hAnsi="仿宋_GB2312" w:cs="仿宋_GB2312" w:eastAsia="仿宋_GB2312"/>
                    </w:rPr>
                    <w:t>；发射机：输出功率</w:t>
                  </w:r>
                  <w:r>
                    <w:rPr>
                      <w:rFonts w:ascii="仿宋_GB2312" w:hAnsi="仿宋_GB2312" w:cs="仿宋_GB2312" w:eastAsia="仿宋_GB2312"/>
                    </w:rPr>
                    <w:t>≥10w</w:t>
                  </w:r>
                </w:p>
                <w:p>
                  <w:pPr>
                    <w:pStyle w:val="null3"/>
                    <w:jc w:val="center"/>
                  </w:pPr>
                  <w:r>
                    <w:rPr>
                      <w:rFonts w:ascii="仿宋_GB2312" w:hAnsi="仿宋_GB2312" w:cs="仿宋_GB2312" w:eastAsia="仿宋_GB2312"/>
                    </w:rPr>
                    <w:t>, 工作频率128Hz、512Hz</w:t>
                  </w:r>
                </w:p>
                <w:p>
                  <w:pPr>
                    <w:pStyle w:val="null3"/>
                    <w:jc w:val="center"/>
                  </w:pPr>
                  <w:r>
                    <w:rPr>
                      <w:rFonts w:ascii="仿宋_GB2312" w:hAnsi="仿宋_GB2312" w:cs="仿宋_GB2312" w:eastAsia="仿宋_GB2312"/>
                    </w:rPr>
                    <w:t>、</w:t>
                  </w:r>
                  <w:r>
                    <w:rPr>
                      <w:rFonts w:ascii="仿宋_GB2312" w:hAnsi="仿宋_GB2312" w:cs="仿宋_GB2312" w:eastAsia="仿宋_GB2312"/>
                    </w:rPr>
                    <w:t>1KHz、2KHz、8KHz、、</w:t>
                  </w:r>
                </w:p>
                <w:p>
                  <w:pPr>
                    <w:pStyle w:val="null3"/>
                    <w:jc w:val="center"/>
                  </w:pPr>
                  <w:r>
                    <w:rPr>
                      <w:rFonts w:ascii="仿宋_GB2312" w:hAnsi="仿宋_GB2312" w:cs="仿宋_GB2312" w:eastAsia="仿宋_GB2312"/>
                    </w:rPr>
                    <w:t>33KHz、65KHz、83KHz等</w:t>
                  </w:r>
                </w:p>
                <w:p>
                  <w:pPr>
                    <w:pStyle w:val="null3"/>
                    <w:jc w:val="center"/>
                  </w:pPr>
                  <w:r>
                    <w:rPr>
                      <w:rFonts w:ascii="仿宋_GB2312" w:hAnsi="仿宋_GB2312" w:cs="仿宋_GB2312" w:eastAsia="仿宋_GB2312"/>
                    </w:rPr>
                    <w:t>；电池蓄电能力能满足工</w:t>
                  </w:r>
                </w:p>
                <w:p>
                  <w:pPr>
                    <w:pStyle w:val="null3"/>
                    <w:jc w:val="center"/>
                  </w:pPr>
                  <w:r>
                    <w:rPr>
                      <w:rFonts w:ascii="仿宋_GB2312" w:hAnsi="仿宋_GB2312" w:cs="仿宋_GB2312" w:eastAsia="仿宋_GB2312"/>
                    </w:rPr>
                    <w:t>作</w:t>
                  </w:r>
                  <w:r>
                    <w:rPr>
                      <w:rFonts w:ascii="仿宋_GB2312" w:hAnsi="仿宋_GB2312" w:cs="仿宋_GB2312" w:eastAsia="仿宋_GB2312"/>
                    </w:rPr>
                    <w:t>8小时。</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台（套</w:t>
                  </w:r>
                  <w:r>
                    <w:rPr>
                      <w:rFonts w:ascii="仿宋_GB2312" w:hAnsi="仿宋_GB2312" w:cs="仿宋_GB2312" w:eastAsia="仿宋_GB2312"/>
                    </w:rPr>
                    <w:t>)</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36</w:t>
                  </w:r>
                  <w:r>
                    <w:rPr>
                      <w:rFonts w:ascii="仿宋_GB2312" w:hAnsi="仿宋_GB2312" w:cs="仿宋_GB2312" w:eastAsia="仿宋_GB2312"/>
                    </w:rPr>
                    <w:t>次</w:t>
                  </w: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用来定位埋设的地下管道</w:t>
                  </w:r>
                  <w:r>
                    <w:rPr>
                      <w:rFonts w:ascii="仿宋_GB2312" w:hAnsi="仿宋_GB2312" w:cs="仿宋_GB2312" w:eastAsia="仿宋_GB2312"/>
                    </w:rPr>
                    <w:t>, 并提供检测设备操作技术人员支持。服务周期内不定期使用，累计使用次</w:t>
                  </w:r>
                  <w:r>
                    <w:rPr>
                      <w:rFonts w:ascii="仿宋_GB2312" w:hAnsi="仿宋_GB2312" w:cs="仿宋_GB2312" w:eastAsia="仿宋_GB2312"/>
                    </w:rPr>
                    <w:t>数不超过</w:t>
                  </w:r>
                  <w:r>
                    <w:rPr>
                      <w:rFonts w:ascii="仿宋_GB2312" w:hAnsi="仿宋_GB2312" w:cs="仿宋_GB2312" w:eastAsia="仿宋_GB2312"/>
                    </w:rPr>
                    <w:t>36</w:t>
                  </w:r>
                  <w:r>
                    <w:rPr>
                      <w:rFonts w:ascii="仿宋_GB2312" w:hAnsi="仿宋_GB2312" w:cs="仿宋_GB2312" w:eastAsia="仿宋_GB2312"/>
                    </w:rPr>
                    <w:t>次，每次使用时长在</w:t>
                  </w:r>
                  <w:r>
                    <w:rPr>
                      <w:rFonts w:ascii="仿宋_GB2312" w:hAnsi="仿宋_GB2312" w:cs="仿宋_GB2312" w:eastAsia="仿宋_GB2312"/>
                    </w:rPr>
                    <w:t>8小时内。</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水事监</w:t>
                  </w:r>
                </w:p>
                <w:p>
                  <w:pPr>
                    <w:pStyle w:val="null3"/>
                    <w:jc w:val="center"/>
                  </w:pPr>
                  <w:r>
                    <w:rPr>
                      <w:rFonts w:ascii="仿宋_GB2312" w:hAnsi="仿宋_GB2312" w:cs="仿宋_GB2312" w:eastAsia="仿宋_GB2312"/>
                    </w:rPr>
                    <w:t>测设备</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通讯网络：</w:t>
                  </w:r>
                  <w:r>
                    <w:rPr>
                      <w:rFonts w:ascii="仿宋_GB2312" w:hAnsi="仿宋_GB2312" w:cs="仿宋_GB2312" w:eastAsia="仿宋_GB2312"/>
                    </w:rPr>
                    <w:t>4G 全网通，可扩展其他无线方式。精度：水位精度 0.05%F.S，温度精度±0.2 °C，电导率 1.5%F·S。工作环境：温度：-40~+85℃；湿度：≤95%。 水位量程：0～10m H ₂ O…0～200m H₂O。 水位精度：0.05%F.S （0～70℃) 、1 级精度。水位分辨力： 1mm</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台</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36</w:t>
                  </w:r>
                  <w:r>
                    <w:rPr>
                      <w:rFonts w:ascii="仿宋_GB2312" w:hAnsi="仿宋_GB2312" w:cs="仿宋_GB2312" w:eastAsia="仿宋_GB2312"/>
                    </w:rPr>
                    <w:t>次</w:t>
                  </w: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满足监测点水位、水温、电导率一体化测量，实现水位超线和监测设备故障的自动报警服务周期内不</w:t>
                  </w:r>
                  <w:r>
                    <w:rPr>
                      <w:rFonts w:ascii="仿宋_GB2312" w:hAnsi="仿宋_GB2312" w:cs="仿宋_GB2312" w:eastAsia="仿宋_GB2312"/>
                    </w:rPr>
                    <w:t>定期使用，累计使用次数不超过</w:t>
                  </w:r>
                  <w:r>
                    <w:rPr>
                      <w:rFonts w:ascii="仿宋_GB2312" w:hAnsi="仿宋_GB2312" w:cs="仿宋_GB2312" w:eastAsia="仿宋_GB2312"/>
                    </w:rPr>
                    <w:t>36</w:t>
                  </w:r>
                  <w:r>
                    <w:rPr>
                      <w:rFonts w:ascii="仿宋_GB2312" w:hAnsi="仿宋_GB2312" w:cs="仿宋_GB2312" w:eastAsia="仿宋_GB2312"/>
                    </w:rPr>
                    <w:t>次，每次使用时长在</w:t>
                  </w:r>
                  <w:r>
                    <w:rPr>
                      <w:rFonts w:ascii="仿宋_GB2312" w:hAnsi="仿宋_GB2312" w:cs="仿宋_GB2312" w:eastAsia="仿宋_GB2312"/>
                    </w:rPr>
                    <w:t>8小时内。</w:t>
                  </w:r>
                </w:p>
              </w:tc>
            </w:tr>
          </w:tbl>
          <w:p>
            <w:pPr>
              <w:pStyle w:val="null3"/>
            </w:pPr>
            <w:r>
              <w:rPr>
                <w:rFonts w:ascii="仿宋_GB2312" w:hAnsi="仿宋_GB2312" w:cs="仿宋_GB2312" w:eastAsia="仿宋_GB2312"/>
              </w:rPr>
              <w:t>二</w:t>
            </w:r>
            <w:r>
              <w:rPr>
                <w:rFonts w:ascii="仿宋_GB2312" w:hAnsi="仿宋_GB2312" w:cs="仿宋_GB2312" w:eastAsia="仿宋_GB2312"/>
              </w:rPr>
              <w:t>、无人机工作</w:t>
            </w:r>
          </w:p>
          <w:p>
            <w:pPr>
              <w:pStyle w:val="null3"/>
            </w:pPr>
            <w:r>
              <w:rPr>
                <w:rFonts w:ascii="仿宋_GB2312" w:hAnsi="仿宋_GB2312" w:cs="仿宋_GB2312" w:eastAsia="仿宋_GB2312"/>
              </w:rPr>
              <w:t>1、运用无人机航拍技术对全市范国内水事违法线索调查工作开展进行无人机实时巡查、 追踪。</w:t>
            </w:r>
          </w:p>
          <w:p>
            <w:pPr>
              <w:pStyle w:val="null3"/>
            </w:pPr>
            <w:r>
              <w:rPr>
                <w:rFonts w:ascii="仿宋_GB2312" w:hAnsi="仿宋_GB2312" w:cs="仿宋_GB2312" w:eastAsia="仿宋_GB2312"/>
              </w:rPr>
              <w:t>2、将巡查问题点的航拍图像、视频资料及相关位置信息进行汇总形成问题报告。</w:t>
            </w:r>
          </w:p>
          <w:p>
            <w:pPr>
              <w:pStyle w:val="null3"/>
            </w:pPr>
            <w:r>
              <w:rPr>
                <w:rFonts w:ascii="仿宋_GB2312" w:hAnsi="仿宋_GB2312" w:cs="仿宋_GB2312" w:eastAsia="仿宋_GB2312"/>
              </w:rPr>
              <w:t>3、将巡查发现问题点的地址、类别、经纬度、现场照片、现场视频等信息整理输出飞行巡查报告。</w:t>
            </w:r>
          </w:p>
          <w:p>
            <w:pPr>
              <w:pStyle w:val="null3"/>
            </w:pPr>
            <w:r>
              <w:rPr>
                <w:rFonts w:ascii="仿宋_GB2312" w:hAnsi="仿宋_GB2312" w:cs="仿宋_GB2312" w:eastAsia="仿宋_GB2312"/>
              </w:rPr>
              <w:t>4、按单次航拍巡查面积1km²计算，飞行巡查总不少于次数48次，巡查总面积不少于24km²。</w:t>
            </w:r>
          </w:p>
          <w:p>
            <w:pPr>
              <w:pStyle w:val="null3"/>
            </w:pPr>
            <w:r>
              <w:rPr>
                <w:rFonts w:ascii="仿宋_GB2312" w:hAnsi="仿宋_GB2312" w:cs="仿宋_GB2312" w:eastAsia="仿宋_GB2312"/>
              </w:rPr>
              <w:t>5、每月10日前提交上一个月的辅助飞行报告。</w:t>
            </w:r>
          </w:p>
          <w:p>
            <w:pPr>
              <w:pStyle w:val="null3"/>
            </w:pPr>
            <w:r>
              <w:rPr>
                <w:rFonts w:ascii="仿宋_GB2312" w:hAnsi="仿宋_GB2312" w:cs="仿宋_GB2312" w:eastAsia="仿宋_GB2312"/>
              </w:rPr>
              <w:t>（一）运行要求</w:t>
            </w:r>
          </w:p>
          <w:p>
            <w:pPr>
              <w:pStyle w:val="null3"/>
            </w:pPr>
            <w:r>
              <w:rPr>
                <w:rFonts w:ascii="仿宋_GB2312" w:hAnsi="仿宋_GB2312" w:cs="仿宋_GB2312" w:eastAsia="仿宋_GB2312"/>
              </w:rPr>
              <w:t>1、符合安全运营要求的无人驾驶航空器及有关设施、设备。</w:t>
            </w:r>
          </w:p>
          <w:p>
            <w:pPr>
              <w:pStyle w:val="null3"/>
            </w:pPr>
            <w:r>
              <w:rPr>
                <w:rFonts w:ascii="仿宋_GB2312" w:hAnsi="仿宋_GB2312" w:cs="仿宋_GB2312" w:eastAsia="仿宋_GB2312"/>
              </w:rPr>
              <w:t>2、实施安全运营所需的管理制度和操作规程，保证持续具备按照制度和规程实施安全运 营的能力。</w:t>
            </w:r>
          </w:p>
          <w:p>
            <w:pPr>
              <w:pStyle w:val="null3"/>
            </w:pPr>
            <w:r>
              <w:rPr>
                <w:rFonts w:ascii="仿宋_GB2312" w:hAnsi="仿宋_GB2312" w:cs="仿宋_GB2312" w:eastAsia="仿宋_GB2312"/>
              </w:rPr>
              <w:t>（二）无人机设备要求</w:t>
            </w:r>
          </w:p>
          <w:p>
            <w:pPr>
              <w:pStyle w:val="null3"/>
            </w:pPr>
            <w:r>
              <w:rPr>
                <w:rFonts w:ascii="仿宋_GB2312" w:hAnsi="仿宋_GB2312" w:cs="仿宋_GB2312" w:eastAsia="仿宋_GB2312"/>
              </w:rPr>
              <w:t>1、对本项目提供3架多旋翼无人机设备进行航拍服务，其中：</w:t>
            </w:r>
          </w:p>
          <w:p>
            <w:pPr>
              <w:pStyle w:val="null3"/>
            </w:pPr>
            <w:r>
              <w:rPr>
                <w:rFonts w:ascii="仿宋_GB2312" w:hAnsi="仿宋_GB2312" w:cs="仿宋_GB2312" w:eastAsia="仿宋_GB2312"/>
              </w:rPr>
              <w:t>①多旋翼无人机（2架）：续航时长：55分钟、最大上升速度：6米/秒、最大水平速度： 23米/秒、抗风能力：七级风、并可搭配多种云台使用。</w:t>
            </w:r>
          </w:p>
          <w:p>
            <w:pPr>
              <w:pStyle w:val="null3"/>
            </w:pPr>
            <w:r>
              <w:rPr>
                <w:rFonts w:ascii="仿宋_GB2312" w:hAnsi="仿宋_GB2312" w:cs="仿宋_GB2312" w:eastAsia="仿宋_GB2312"/>
              </w:rPr>
              <w:t>②多旋翼无人机（1架）：续航时长：45分钟、最大上升速度：6米/秒、最大水平速度：</w:t>
            </w:r>
          </w:p>
          <w:p>
            <w:pPr>
              <w:pStyle w:val="null3"/>
            </w:pPr>
            <w:r>
              <w:rPr>
                <w:rFonts w:ascii="仿宋_GB2312" w:hAnsi="仿宋_GB2312" w:cs="仿宋_GB2312" w:eastAsia="仿宋_GB2312"/>
              </w:rPr>
              <w:t>15米/秒、抗风能力：七级风</w:t>
            </w:r>
          </w:p>
          <w:p>
            <w:pPr>
              <w:pStyle w:val="null3"/>
            </w:pPr>
            <w:r>
              <w:rPr>
                <w:rFonts w:ascii="仿宋_GB2312" w:hAnsi="仿宋_GB2312" w:cs="仿宋_GB2312" w:eastAsia="仿宋_GB2312"/>
              </w:rPr>
              <w:t>2、对目标区域进行航拍。航拍信息图像分辨率不低于9600×6400像素，视频分辨率不低 于1080P像素。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中标人/成交供应商须指派固定的团队为本项目提供专业驻场服务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2025年12月20日前</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中标/成交供应商须提交纸质版响应文件（必须胶装），正本壹份、副本贰份、电子版壹份（U盘标明供应商名称）。若电子响应文件与纸质响应文件不一致，以电子响应文件为准；若正本和副本不符，以正本为准。 纸质文件递交时间：成交结果公告公示结束后；纸质文件递交：陕西省西安市碑林区长安北路1号陕西国际会展大厦1幢1单元27层12712号房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技术偏离表 供应商应提交的相关资格证明材料.docx 商务偏离表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仅限符合《政府采购促进中小企业发展管理办法》 （财库〔2020〕46 号）条件的中小企业参与。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仅限符合《政府采购促进中小企业发展管理办法》（财库〔2020〕46 号）条件的中小企业参与，供应商应填写中小企业声明函并对真实性负责。</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本项目不接受联合体磋商，不允许分包。提供《非联合体参加声明函》。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 标的清单 承诺书.docx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(1)响应文件未按照磋商文件规定要求签署、盖章的； (2)不满足本招标文件中“服务期限、服务地点、采购资金的支付方式及约定”的实质性条款要求的； (3)投标有效期不足的或无有效期的； (4)报价未超过招标文件中规定的预算金额； (5)法律、法规和招标文件规定的其他无效情形。</w:t>
            </w:r>
          </w:p>
        </w:tc>
        <w:tc>
          <w:tcPr>
            <w:tcW w:type="dxa" w:w="1661"/>
          </w:tcPr>
          <w:p>
            <w:pPr>
              <w:pStyle w:val="null3"/>
            </w:pPr>
            <w:r>
              <w:rPr>
                <w:rFonts w:ascii="仿宋_GB2312" w:hAnsi="仿宋_GB2312" w:cs="仿宋_GB2312" w:eastAsia="仿宋_GB2312"/>
              </w:rPr>
              <w:t>响应文件封面 技术偏离表 供应商应提交的相关资格证明材料.docx 分项报价表 商务偏离表 中小企业声明函 标的清单 承诺书.docx 报价表 响应函 服务方案.docx 其他证明文件.docx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根据供应商对本项目采购内容及要求的分析和理解： 1.明确服务所要达到的目的和效果、确保服务的针对性和有效性； 2.明确服务的流程、步骤和关键节点，确保服务的顺畅进行； 3.明确涉及服务所需的技术支持、工具、平台等，以确保服务的技 术可行性和先进性； 4.明确服务的标准和质量要求； 5.规划服务的时间安排和进度，确保服务的按时完成； 服务方案内容完整、措施合理明确，有科学、具体安排的，得25分；每有一项内容缺项扣5 分，每有一项内容存在缺陷扣3分，未提供不得分。 备注：缺陷是指内容不完整或缺少关键点、非专门针对本项目 或不适用本项目特性、对同一问题前后表述不一致、套用其他 项目内容;不利于本项目目标的实现、现有技术条件下不可能出 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商务偏离表</w:t>
            </w:r>
          </w:p>
          <w:p>
            <w:pPr>
              <w:pStyle w:val="null3"/>
            </w:pPr>
            <w:r>
              <w:rPr>
                <w:rFonts w:ascii="仿宋_GB2312" w:hAnsi="仿宋_GB2312" w:cs="仿宋_GB2312" w:eastAsia="仿宋_GB2312"/>
              </w:rPr>
              <w:t>技术偏离表</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供应商针对本项目提供具体可行的保障措施，内容包括核查人员基础保障措施、核查设备保障措施、核查人员的安全保障措 施、无人机工作保障措施等，能提供具体的措施内容及相应证明材料： 保障措施合理、完善、详尽，完全满足项目的要求且可行性强的，得20分；每有一项内容缺项扣5分，每有一项内容存在缺陷扣3分，未提供不得分。 备注：缺陷是指内容不完整或缺少关键点、非专门针对本项目 或不适用本项目特性、对同一问题前后表述不一致、套用其他 项目内容;不利于本项目目标的实现、现有技术条件下不可能出 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商务偏离表</w:t>
            </w:r>
          </w:p>
          <w:p>
            <w:pPr>
              <w:pStyle w:val="null3"/>
            </w:pPr>
            <w:r>
              <w:rPr>
                <w:rFonts w:ascii="仿宋_GB2312" w:hAnsi="仿宋_GB2312" w:cs="仿宋_GB2312" w:eastAsia="仿宋_GB2312"/>
              </w:rPr>
              <w:t>技术偏离表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服务应急预案</w:t>
            </w:r>
          </w:p>
        </w:tc>
        <w:tc>
          <w:tcPr>
            <w:tcW w:type="dxa" w:w="2492"/>
          </w:tcPr>
          <w:p>
            <w:pPr>
              <w:pStyle w:val="null3"/>
            </w:pPr>
            <w:r>
              <w:rPr>
                <w:rFonts w:ascii="仿宋_GB2312" w:hAnsi="仿宋_GB2312" w:cs="仿宋_GB2312" w:eastAsia="仿宋_GB2312"/>
              </w:rPr>
              <w:t>供应商提供的服务应急预案是否科学合理，是否可以确保工作 优质、高效、如期完成： 服务应急预案合理、完善、详尽，完全满足项目的要求且可行 性强的，计 10 分； 服务应急预案合理、完善、详尽，满足项目的要求且有一定可 行性的，计 7 分； 服务应急预案合理、完善、详尽，基本满足项目的要求且基本 可行性的，计 4 分； 服务应急预案合理性及可行性较差的，计 2 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商务偏离表</w:t>
            </w:r>
          </w:p>
          <w:p>
            <w:pPr>
              <w:pStyle w:val="null3"/>
            </w:pPr>
            <w:r>
              <w:rPr>
                <w:rFonts w:ascii="仿宋_GB2312" w:hAnsi="仿宋_GB2312" w:cs="仿宋_GB2312" w:eastAsia="仿宋_GB2312"/>
              </w:rPr>
              <w:t>技术偏离表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团队管理</w:t>
            </w:r>
          </w:p>
        </w:tc>
        <w:tc>
          <w:tcPr>
            <w:tcW w:type="dxa" w:w="2492"/>
          </w:tcPr>
          <w:p>
            <w:pPr>
              <w:pStyle w:val="null3"/>
            </w:pPr>
            <w:r>
              <w:rPr>
                <w:rFonts w:ascii="仿宋_GB2312" w:hAnsi="仿宋_GB2312" w:cs="仿宋_GB2312" w:eastAsia="仿宋_GB2312"/>
              </w:rPr>
              <w:t>供应商提供明确的团队管理方案，涉及服务人员的配置、职责、 技能要求等，确保服务团队的专业性和高效性： 团队管理方案合理、完善、详尽，完全满足项目的要求且可行 性强的，计 10 分； 团队管理方案合理、完善、详尽，满足项目的要求且有一定可 行性的，计 7 分； 团队管理方案合理、完善、详尽，基本满足项目的要求且基本 可行性的，计 4 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商务偏离表</w:t>
            </w:r>
          </w:p>
          <w:p>
            <w:pPr>
              <w:pStyle w:val="null3"/>
            </w:pPr>
            <w:r>
              <w:rPr>
                <w:rFonts w:ascii="仿宋_GB2312" w:hAnsi="仿宋_GB2312" w:cs="仿宋_GB2312" w:eastAsia="仿宋_GB2312"/>
              </w:rPr>
              <w:t>技术偏离表</w:t>
            </w:r>
          </w:p>
          <w:p>
            <w:pPr>
              <w:pStyle w:val="null3"/>
            </w:pPr>
            <w:r>
              <w:rPr>
                <w:rFonts w:ascii="仿宋_GB2312" w:hAnsi="仿宋_GB2312" w:cs="仿宋_GB2312" w:eastAsia="仿宋_GB2312"/>
              </w:rPr>
              <w:t>拟投入本项目的人员</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根据供应商针对服务目标提供的培训方案等进行综合评分，制 定培训的内容等； 方案内容完整详细、可操作性强、合理、可行，符合且能有效 提升实际需求，计 10 分； 方案内容完整，可操作性强、基本符合且能提升实际需求，计7 分； 方案内容不完整，响应有缺项，与实际需求有偏差，计 4 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商务偏离表</w:t>
            </w:r>
          </w:p>
          <w:p>
            <w:pPr>
              <w:pStyle w:val="null3"/>
            </w:pPr>
            <w:r>
              <w:rPr>
                <w:rFonts w:ascii="仿宋_GB2312" w:hAnsi="仿宋_GB2312" w:cs="仿宋_GB2312" w:eastAsia="仿宋_GB2312"/>
              </w:rPr>
              <w:t>技术偏离表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根据供应商提供的服务承诺，内容包括服务响应时间、保障人员 配备、提供的产品质量保证等能够在服务期限内按质按量高效完 成采购人要求的； 服务承诺合理、完善、详尽，完全满足项目的要求且可行性强的， 计 10 分； 服务承诺合理、完善、详尽，满足项目的要求且有一定可行性的， 计 7 分； 服务承诺合理、完善、详尽，基本满足项目的要求且基本可行性 的 ，计 4 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商务偏离表</w:t>
            </w:r>
          </w:p>
          <w:p>
            <w:pPr>
              <w:pStyle w:val="null3"/>
            </w:pPr>
            <w:r>
              <w:rPr>
                <w:rFonts w:ascii="仿宋_GB2312" w:hAnsi="仿宋_GB2312" w:cs="仿宋_GB2312" w:eastAsia="仿宋_GB2312"/>
              </w:rPr>
              <w:t>技术偏离表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 7 月 1 日至今同类服务业绩。 每提供 1 份业绩得 2.5 分（同一作品不重复使用），最高得 5 分； 未提供不得分。 注：必须提供签订的合同复印件作为依据，缺少一项不得分。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小组对入围的供应商的最后价格进行修正得出评审价。综合评分法中的价格分统一采用低价优先法计算，即满足磋商文件要求（通过资格、符合性评审）且价格最低的有效最后报价（指修正后的价格，下同）为磋商基准价，其价格分为满分。其他供应商的价格分统一按照下列公式计算： 磋商报价得分＝（磋商基准价／最后磋商报价）x 价格权值x 100（精确到0.01）。 因落实政府采购政策进行价格调整的，以调整后的价格计算磋商基准价和最后磋商报价。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详见附件：拟投入本项目的人员</w:t>
      </w:r>
    </w:p>
    <w:p>
      <w:pPr>
        <w:pStyle w:val="null3"/>
        <w:ind w:firstLine="960"/>
      </w:pPr>
      <w:r>
        <w:rPr>
          <w:rFonts w:ascii="仿宋_GB2312" w:hAnsi="仿宋_GB2312" w:cs="仿宋_GB2312" w:eastAsia="仿宋_GB2312"/>
        </w:rPr>
        <w:t>详见附件：项目业绩一览表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