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42DE60">
      <w:pPr>
        <w:pStyle w:val="5"/>
        <w:pageBreakBefore/>
        <w:spacing w:line="360" w:lineRule="auto"/>
        <w:jc w:val="center"/>
        <w:rPr>
          <w:rFonts w:hint="eastAsia" w:ascii="方正小标宋简体" w:hAnsi="方正小标宋简体" w:eastAsia="方正小标宋简体" w:cs="方正小标宋简体"/>
          <w:b w:val="0"/>
          <w:bCs/>
          <w:color w:val="FF0000"/>
          <w:kern w:val="0"/>
          <w:sz w:val="36"/>
          <w:szCs w:val="36"/>
          <w:highlight w:val="none"/>
          <w:lang w:eastAsia="zh-CN"/>
        </w:rPr>
      </w:pPr>
      <w:r>
        <w:rPr>
          <w:rFonts w:hint="eastAsia" w:ascii="方正小标宋简体" w:hAnsi="方正小标宋简体" w:eastAsia="方正小标宋简体" w:cs="方正小标宋简体"/>
          <w:b w:val="0"/>
          <w:bCs/>
          <w:sz w:val="44"/>
          <w:szCs w:val="44"/>
          <w:highlight w:val="none"/>
        </w:rPr>
        <w:t>拟签订的合同文本</w:t>
      </w:r>
    </w:p>
    <w:p w14:paraId="5667F2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注：本合同为示范文本，具体条款内容由甲方和乙方协商确定，但不得改变招标文件、投标文件、中标通知书里的实质性内容。）</w:t>
      </w:r>
    </w:p>
    <w:p w14:paraId="5CC97450">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rPr>
      </w:pPr>
    </w:p>
    <w:p w14:paraId="4FD5CB59">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u w:val="single"/>
          <w:lang w:val="en-US" w:eastAsia="zh-CN"/>
        </w:rPr>
      </w:pPr>
      <w:r>
        <w:rPr>
          <w:rFonts w:hint="eastAsia" w:ascii="仿宋" w:hAnsi="仿宋" w:eastAsia="仿宋" w:cs="仿宋"/>
          <w:color w:val="auto"/>
          <w:highlight w:val="none"/>
        </w:rPr>
        <w:t>签订地点：</w:t>
      </w:r>
      <w:r>
        <w:rPr>
          <w:rFonts w:hint="eastAsia" w:ascii="仿宋" w:hAnsi="仿宋" w:eastAsia="仿宋" w:cs="仿宋"/>
          <w:color w:val="auto"/>
          <w:highlight w:val="none"/>
          <w:u w:val="single"/>
          <w:lang w:val="en-US" w:eastAsia="zh-CN"/>
        </w:rPr>
        <w:t xml:space="preserve">                </w:t>
      </w:r>
    </w:p>
    <w:p w14:paraId="40F11BA4">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签订时间：</w:t>
      </w:r>
      <w:r>
        <w:rPr>
          <w:rFonts w:hint="eastAsia" w:ascii="仿宋" w:hAnsi="仿宋" w:eastAsia="仿宋" w:cs="仿宋"/>
          <w:color w:val="auto"/>
          <w:highlight w:val="none"/>
          <w:u w:val="single"/>
          <w:lang w:val="en-US" w:eastAsia="zh-CN"/>
        </w:rPr>
        <w:t xml:space="preserve">                 </w:t>
      </w:r>
    </w:p>
    <w:p w14:paraId="7CD05C93">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rPr>
      </w:pPr>
      <w:r>
        <w:rPr>
          <w:rFonts w:hint="eastAsia" w:ascii="仿宋" w:hAnsi="仿宋" w:eastAsia="仿宋" w:cs="仿宋"/>
          <w:color w:val="auto"/>
          <w:highlight w:val="none"/>
        </w:rPr>
        <w:t>采购人（甲方）：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p>
    <w:p w14:paraId="3EE1A68C">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仿宋" w:hAnsi="仿宋" w:eastAsia="仿宋" w:cs="仿宋"/>
          <w:color w:val="auto"/>
          <w:highlight w:val="none"/>
        </w:rPr>
      </w:pPr>
      <w:r>
        <w:rPr>
          <w:rFonts w:hint="eastAsia" w:ascii="仿宋" w:hAnsi="仿宋" w:eastAsia="仿宋" w:cs="仿宋"/>
          <w:color w:val="auto"/>
          <w:highlight w:val="none"/>
        </w:rPr>
        <w:t>供应商（乙方）：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（中标人）</w:t>
      </w:r>
    </w:p>
    <w:p w14:paraId="636926A9">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rPr>
      </w:pPr>
      <w:r>
        <w:rPr>
          <w:rFonts w:hint="eastAsia" w:ascii="仿宋" w:hAnsi="仿宋" w:eastAsia="仿宋" w:cs="仿宋"/>
          <w:color w:val="auto"/>
          <w:highlight w:val="none"/>
        </w:rPr>
        <w:t>根据《中华人民共和国政府采购法》及实施条例、《中华人民共和国民法典》和甲方</w:t>
      </w:r>
      <w:r>
        <w:rPr>
          <w:rFonts w:hint="eastAsia" w:ascii="仿宋" w:hAnsi="仿宋" w:eastAsia="仿宋" w:cs="仿宋"/>
          <w:color w:val="auto"/>
          <w:highlight w:val="none"/>
          <w:u w:val="single"/>
          <w:lang w:val="en-US" w:eastAsia="zh-CN"/>
        </w:rPr>
        <w:t xml:space="preserve">     项目名称     </w:t>
      </w:r>
      <w:r>
        <w:rPr>
          <w:rFonts w:hint="eastAsia" w:ascii="仿宋" w:hAnsi="仿宋" w:eastAsia="仿宋" w:cs="仿宋"/>
          <w:color w:val="auto"/>
          <w:kern w:val="0"/>
          <w:sz w:val="24"/>
          <w:szCs w:val="24"/>
          <w:lang w:val="en-US" w:eastAsia="zh-CN" w:bidi="ar-SA"/>
        </w:rPr>
        <w:t>（</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）的招标文件、投标文件等有关规定，为确保甲方采购项目的顺利实施，甲、乙双方在平等自愿原则下签订本合同，并共同遵守如下条款：</w:t>
      </w:r>
    </w:p>
    <w:p w14:paraId="351C431C">
      <w:pPr>
        <w:pStyle w:val="13"/>
        <w:spacing w:line="360" w:lineRule="auto"/>
        <w:outlineLvl w:val="1"/>
        <w:rPr>
          <w:rFonts w:hint="eastAsia" w:ascii="仿宋" w:hAnsi="仿宋" w:eastAsia="仿宋" w:cs="仿宋"/>
          <w:b/>
          <w:color w:val="auto"/>
          <w:highlight w:val="none"/>
        </w:rPr>
      </w:pPr>
      <w:bookmarkStart w:id="0" w:name="_Toc18934"/>
      <w:bookmarkStart w:id="1" w:name="_Toc3373"/>
      <w:bookmarkStart w:id="2" w:name="_Toc8686"/>
      <w:r>
        <w:rPr>
          <w:rFonts w:hint="eastAsia" w:ascii="仿宋" w:hAnsi="仿宋" w:eastAsia="仿宋" w:cs="仿宋"/>
          <w:b/>
          <w:color w:val="auto"/>
          <w:highlight w:val="none"/>
        </w:rPr>
        <w:t>第一条 合同标的及数量</w:t>
      </w:r>
      <w:bookmarkEnd w:id="0"/>
      <w:bookmarkEnd w:id="1"/>
      <w:bookmarkEnd w:id="2"/>
    </w:p>
    <w:p w14:paraId="3F7708DD">
      <w:pPr>
        <w:pStyle w:val="13"/>
        <w:spacing w:line="360" w:lineRule="auto"/>
        <w:ind w:firstLine="480" w:firstLineChars="200"/>
        <w:outlineLvl w:val="9"/>
        <w:rPr>
          <w:rFonts w:hint="eastAsia" w:ascii="仿宋" w:hAnsi="仿宋" w:eastAsia="仿宋" w:cs="仿宋"/>
          <w:b/>
          <w:color w:val="auto"/>
          <w:highlight w:val="none"/>
        </w:rPr>
      </w:pPr>
      <w:r>
        <w:rPr>
          <w:rFonts w:hint="eastAsia" w:ascii="仿宋" w:hAnsi="仿宋" w:eastAsia="仿宋" w:cs="仿宋"/>
          <w:color w:val="auto"/>
          <w:highlight w:val="none"/>
        </w:rPr>
        <w:t>乙方向甲方提供下列货物（产品）</w:t>
      </w:r>
      <w:r>
        <w:rPr>
          <w:rFonts w:hint="eastAsia" w:ascii="仿宋" w:hAnsi="仿宋" w:eastAsia="仿宋" w:cs="仿宋"/>
          <w:color w:val="auto"/>
          <w:highlight w:val="none"/>
          <w:lang w:val="en-US" w:eastAsia="zh-CN"/>
        </w:rPr>
        <w:t>及相关服务</w:t>
      </w:r>
      <w:r>
        <w:rPr>
          <w:rFonts w:hint="eastAsia" w:ascii="仿宋" w:hAnsi="仿宋" w:eastAsia="仿宋" w:cs="仿宋"/>
          <w:color w:val="auto"/>
          <w:highlight w:val="none"/>
        </w:rPr>
        <w:t>：</w:t>
      </w:r>
    </w:p>
    <w:p w14:paraId="55DC5C83">
      <w:pPr>
        <w:pStyle w:val="7"/>
        <w:spacing w:line="360" w:lineRule="auto"/>
        <w:ind w:firstLine="0"/>
        <w:jc w:val="center"/>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货物（产品）及相关服务一览表</w:t>
      </w:r>
    </w:p>
    <w:tbl>
      <w:tblPr>
        <w:tblStyle w:val="11"/>
        <w:tblpPr w:leftFromText="180" w:rightFromText="180" w:vertAnchor="text" w:horzAnchor="margin" w:tblpY="309"/>
        <w:tblW w:w="8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461"/>
        <w:gridCol w:w="1623"/>
        <w:gridCol w:w="832"/>
        <w:gridCol w:w="822"/>
        <w:gridCol w:w="514"/>
        <w:gridCol w:w="1377"/>
        <w:gridCol w:w="1386"/>
      </w:tblGrid>
      <w:tr w14:paraId="5B02B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801" w:type="dxa"/>
            <w:vAlign w:val="center"/>
          </w:tcPr>
          <w:p w14:paraId="1EBB9869">
            <w:pPr>
              <w:outlineLvl w:val="9"/>
              <w:rPr>
                <w:rFonts w:hint="eastAsia" w:ascii="仿宋" w:hAnsi="仿宋" w:eastAsia="仿宋" w:cs="仿宋"/>
                <w:color w:val="auto"/>
                <w:sz w:val="24"/>
                <w:szCs w:val="24"/>
                <w:highlight w:val="none"/>
              </w:rPr>
            </w:pPr>
            <w:bookmarkStart w:id="3" w:name="_Toc21343"/>
            <w:bookmarkStart w:id="4" w:name="_Toc31400"/>
            <w:bookmarkStart w:id="5" w:name="_Toc26294"/>
            <w:bookmarkStart w:id="6" w:name="_Toc1631"/>
            <w:bookmarkStart w:id="7" w:name="_Toc7471"/>
            <w:r>
              <w:rPr>
                <w:rFonts w:hint="eastAsia" w:ascii="仿宋" w:hAnsi="仿宋" w:eastAsia="仿宋" w:cs="仿宋"/>
                <w:color w:val="auto"/>
                <w:sz w:val="24"/>
                <w:szCs w:val="24"/>
                <w:highlight w:val="none"/>
              </w:rPr>
              <w:t>序号</w:t>
            </w:r>
            <w:bookmarkEnd w:id="3"/>
            <w:bookmarkEnd w:id="4"/>
            <w:bookmarkEnd w:id="5"/>
            <w:bookmarkEnd w:id="6"/>
            <w:bookmarkEnd w:id="7"/>
          </w:p>
        </w:tc>
        <w:tc>
          <w:tcPr>
            <w:tcW w:w="1461" w:type="dxa"/>
            <w:vAlign w:val="center"/>
          </w:tcPr>
          <w:p w14:paraId="2E87C7AF">
            <w:pPr>
              <w:jc w:val="center"/>
              <w:outlineLvl w:val="9"/>
              <w:rPr>
                <w:rFonts w:hint="eastAsia" w:ascii="仿宋" w:hAnsi="仿宋" w:eastAsia="仿宋" w:cs="仿宋"/>
                <w:color w:val="auto"/>
                <w:sz w:val="24"/>
                <w:szCs w:val="24"/>
                <w:highlight w:val="none"/>
              </w:rPr>
            </w:pPr>
            <w:bookmarkStart w:id="8" w:name="_Toc678"/>
            <w:bookmarkStart w:id="9" w:name="_Toc6445"/>
            <w:bookmarkStart w:id="10" w:name="_Toc3968"/>
            <w:bookmarkStart w:id="11" w:name="_Toc23183"/>
            <w:bookmarkStart w:id="12" w:name="_Toc22389"/>
            <w:r>
              <w:rPr>
                <w:rFonts w:hint="eastAsia" w:ascii="仿宋" w:hAnsi="仿宋" w:eastAsia="仿宋" w:cs="仿宋"/>
                <w:color w:val="auto"/>
                <w:sz w:val="24"/>
                <w:szCs w:val="24"/>
                <w:highlight w:val="none"/>
              </w:rPr>
              <w:t>名称</w:t>
            </w:r>
            <w:bookmarkEnd w:id="8"/>
            <w:bookmarkEnd w:id="9"/>
            <w:bookmarkEnd w:id="10"/>
            <w:bookmarkEnd w:id="11"/>
            <w:bookmarkEnd w:id="12"/>
          </w:p>
        </w:tc>
        <w:tc>
          <w:tcPr>
            <w:tcW w:w="1623" w:type="dxa"/>
            <w:vAlign w:val="center"/>
          </w:tcPr>
          <w:p w14:paraId="0C77C6E5">
            <w:pPr>
              <w:outlineLvl w:val="9"/>
              <w:rPr>
                <w:rFonts w:hint="eastAsia" w:ascii="仿宋" w:hAnsi="仿宋" w:eastAsia="仿宋" w:cs="仿宋"/>
                <w:color w:val="auto"/>
                <w:sz w:val="24"/>
                <w:szCs w:val="24"/>
                <w:highlight w:val="none"/>
              </w:rPr>
            </w:pPr>
            <w:bookmarkStart w:id="13" w:name="_Toc5820"/>
            <w:bookmarkStart w:id="14" w:name="_Toc16370"/>
            <w:bookmarkStart w:id="15" w:name="_Toc31540"/>
            <w:bookmarkStart w:id="16" w:name="_Toc13493"/>
            <w:bookmarkStart w:id="17" w:name="_Toc6213"/>
            <w:r>
              <w:rPr>
                <w:rFonts w:hint="eastAsia" w:ascii="仿宋" w:hAnsi="仿宋" w:eastAsia="仿宋" w:cs="仿宋"/>
                <w:color w:val="auto"/>
                <w:sz w:val="24"/>
                <w:szCs w:val="24"/>
                <w:highlight w:val="none"/>
              </w:rPr>
              <w:t>品牌/型号</w:t>
            </w:r>
            <w:bookmarkEnd w:id="13"/>
            <w:bookmarkEnd w:id="14"/>
            <w:bookmarkEnd w:id="15"/>
            <w:bookmarkEnd w:id="16"/>
            <w:bookmarkEnd w:id="17"/>
          </w:p>
        </w:tc>
        <w:tc>
          <w:tcPr>
            <w:tcW w:w="832" w:type="dxa"/>
            <w:vAlign w:val="center"/>
          </w:tcPr>
          <w:p w14:paraId="2F3B4642">
            <w:pPr>
              <w:outlineLvl w:val="9"/>
              <w:rPr>
                <w:rFonts w:hint="eastAsia" w:ascii="仿宋" w:hAnsi="仿宋" w:eastAsia="仿宋" w:cs="仿宋"/>
                <w:color w:val="auto"/>
                <w:sz w:val="24"/>
                <w:szCs w:val="24"/>
                <w:highlight w:val="none"/>
              </w:rPr>
            </w:pPr>
            <w:bookmarkStart w:id="18" w:name="_Toc3931"/>
            <w:bookmarkStart w:id="19" w:name="_Toc21205"/>
            <w:bookmarkStart w:id="20" w:name="_Toc3362"/>
            <w:bookmarkStart w:id="21" w:name="_Toc15931"/>
            <w:bookmarkStart w:id="22" w:name="_Toc5177"/>
            <w:r>
              <w:rPr>
                <w:rFonts w:hint="eastAsia" w:ascii="仿宋" w:hAnsi="仿宋" w:eastAsia="仿宋" w:cs="仿宋"/>
                <w:color w:val="auto"/>
                <w:sz w:val="24"/>
                <w:szCs w:val="24"/>
                <w:highlight w:val="none"/>
              </w:rPr>
              <w:t>规格</w:t>
            </w:r>
            <w:bookmarkEnd w:id="18"/>
            <w:bookmarkEnd w:id="19"/>
            <w:bookmarkEnd w:id="20"/>
            <w:bookmarkEnd w:id="21"/>
            <w:bookmarkEnd w:id="22"/>
          </w:p>
        </w:tc>
        <w:tc>
          <w:tcPr>
            <w:tcW w:w="822" w:type="dxa"/>
            <w:vAlign w:val="center"/>
          </w:tcPr>
          <w:p w14:paraId="4887C799">
            <w:pPr>
              <w:outlineLvl w:val="9"/>
              <w:rPr>
                <w:rFonts w:hint="eastAsia" w:ascii="仿宋" w:hAnsi="仿宋" w:eastAsia="仿宋" w:cs="仿宋"/>
                <w:color w:val="auto"/>
                <w:sz w:val="24"/>
                <w:szCs w:val="24"/>
                <w:highlight w:val="none"/>
              </w:rPr>
            </w:pPr>
            <w:bookmarkStart w:id="23" w:name="_Toc18669"/>
            <w:bookmarkStart w:id="24" w:name="_Toc16004"/>
            <w:bookmarkStart w:id="25" w:name="_Toc8364"/>
            <w:bookmarkStart w:id="26" w:name="_Toc30791"/>
            <w:bookmarkStart w:id="27" w:name="_Toc13801"/>
            <w:r>
              <w:rPr>
                <w:rFonts w:hint="eastAsia" w:ascii="仿宋" w:hAnsi="仿宋" w:eastAsia="仿宋" w:cs="仿宋"/>
                <w:color w:val="auto"/>
                <w:sz w:val="24"/>
                <w:szCs w:val="24"/>
                <w:highlight w:val="none"/>
              </w:rPr>
              <w:t>计量单位</w:t>
            </w:r>
            <w:bookmarkEnd w:id="23"/>
            <w:bookmarkEnd w:id="24"/>
            <w:bookmarkEnd w:id="25"/>
            <w:bookmarkEnd w:id="26"/>
            <w:bookmarkEnd w:id="27"/>
          </w:p>
        </w:tc>
        <w:tc>
          <w:tcPr>
            <w:tcW w:w="514" w:type="dxa"/>
            <w:vAlign w:val="center"/>
          </w:tcPr>
          <w:p w14:paraId="2939E969">
            <w:pPr>
              <w:outlineLvl w:val="9"/>
              <w:rPr>
                <w:rFonts w:hint="eastAsia" w:ascii="仿宋" w:hAnsi="仿宋" w:eastAsia="仿宋" w:cs="仿宋"/>
                <w:color w:val="auto"/>
                <w:sz w:val="24"/>
                <w:szCs w:val="24"/>
                <w:highlight w:val="none"/>
              </w:rPr>
            </w:pPr>
            <w:bookmarkStart w:id="28" w:name="_Toc24569"/>
            <w:bookmarkStart w:id="29" w:name="_Toc9231"/>
            <w:bookmarkStart w:id="30" w:name="_Toc29871"/>
            <w:bookmarkStart w:id="31" w:name="_Toc19134"/>
            <w:bookmarkStart w:id="32" w:name="_Toc609"/>
            <w:r>
              <w:rPr>
                <w:rFonts w:hint="eastAsia" w:ascii="仿宋" w:hAnsi="仿宋" w:eastAsia="仿宋" w:cs="仿宋"/>
                <w:color w:val="auto"/>
                <w:sz w:val="24"/>
                <w:szCs w:val="24"/>
                <w:highlight w:val="none"/>
              </w:rPr>
              <w:t>数量</w:t>
            </w:r>
            <w:bookmarkEnd w:id="28"/>
            <w:bookmarkEnd w:id="29"/>
            <w:bookmarkEnd w:id="30"/>
            <w:bookmarkEnd w:id="31"/>
            <w:bookmarkEnd w:id="32"/>
          </w:p>
        </w:tc>
        <w:tc>
          <w:tcPr>
            <w:tcW w:w="1377" w:type="dxa"/>
            <w:vAlign w:val="center"/>
          </w:tcPr>
          <w:p w14:paraId="7B4430C7">
            <w:pPr>
              <w:outlineLvl w:val="9"/>
              <w:rPr>
                <w:rFonts w:hint="eastAsia" w:ascii="仿宋" w:hAnsi="仿宋" w:eastAsia="仿宋" w:cs="仿宋"/>
                <w:color w:val="auto"/>
                <w:sz w:val="24"/>
                <w:szCs w:val="24"/>
                <w:highlight w:val="none"/>
              </w:rPr>
            </w:pPr>
            <w:bookmarkStart w:id="33" w:name="_Toc22269"/>
            <w:bookmarkStart w:id="34" w:name="_Toc23932"/>
            <w:bookmarkStart w:id="35" w:name="_Toc29589"/>
            <w:bookmarkStart w:id="36" w:name="_Toc5020"/>
            <w:bookmarkStart w:id="37" w:name="_Toc1373"/>
            <w:r>
              <w:rPr>
                <w:rFonts w:hint="eastAsia" w:ascii="仿宋" w:hAnsi="仿宋" w:eastAsia="仿宋" w:cs="仿宋"/>
                <w:color w:val="auto"/>
                <w:sz w:val="24"/>
                <w:szCs w:val="24"/>
                <w:highlight w:val="none"/>
                <w:lang w:val="en-US" w:eastAsia="zh-CN"/>
              </w:rPr>
              <w:t>单</w:t>
            </w:r>
            <w:r>
              <w:rPr>
                <w:rFonts w:hint="eastAsia" w:ascii="仿宋" w:hAnsi="仿宋" w:eastAsia="仿宋" w:cs="仿宋"/>
                <w:color w:val="auto"/>
                <w:sz w:val="24"/>
                <w:szCs w:val="24"/>
                <w:highlight w:val="none"/>
              </w:rPr>
              <w:t>价（元）</w:t>
            </w:r>
            <w:bookmarkEnd w:id="33"/>
            <w:bookmarkEnd w:id="34"/>
            <w:bookmarkEnd w:id="35"/>
            <w:bookmarkEnd w:id="36"/>
            <w:bookmarkEnd w:id="37"/>
          </w:p>
        </w:tc>
        <w:tc>
          <w:tcPr>
            <w:tcW w:w="1386" w:type="dxa"/>
            <w:vAlign w:val="center"/>
          </w:tcPr>
          <w:p w14:paraId="476F54AA">
            <w:pPr>
              <w:ind w:left="236" w:hanging="235" w:hangingChars="98"/>
              <w:outlineLvl w:val="9"/>
              <w:rPr>
                <w:rFonts w:hint="eastAsia" w:ascii="仿宋" w:hAnsi="仿宋" w:eastAsia="仿宋" w:cs="仿宋"/>
                <w:color w:val="auto"/>
                <w:sz w:val="24"/>
                <w:szCs w:val="24"/>
                <w:highlight w:val="none"/>
              </w:rPr>
            </w:pPr>
            <w:bookmarkStart w:id="38" w:name="_Toc32579"/>
            <w:bookmarkStart w:id="39" w:name="_Toc26062"/>
            <w:bookmarkStart w:id="40" w:name="_Toc14510"/>
            <w:bookmarkStart w:id="41" w:name="_Toc17545"/>
            <w:bookmarkStart w:id="42" w:name="_Toc23619"/>
            <w:r>
              <w:rPr>
                <w:rFonts w:hint="eastAsia" w:ascii="仿宋" w:hAnsi="仿宋" w:eastAsia="仿宋" w:cs="仿宋"/>
                <w:color w:val="auto"/>
                <w:sz w:val="24"/>
                <w:szCs w:val="24"/>
                <w:highlight w:val="none"/>
              </w:rPr>
              <w:t>金额 (元)</w:t>
            </w:r>
            <w:bookmarkEnd w:id="38"/>
            <w:bookmarkEnd w:id="39"/>
            <w:bookmarkEnd w:id="40"/>
            <w:bookmarkEnd w:id="41"/>
            <w:bookmarkEnd w:id="42"/>
          </w:p>
        </w:tc>
      </w:tr>
      <w:tr w14:paraId="3ACD6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14:paraId="50482D90">
            <w:pPr>
              <w:outlineLvl w:val="9"/>
              <w:rPr>
                <w:rFonts w:hint="eastAsia" w:ascii="仿宋" w:hAnsi="仿宋" w:eastAsia="仿宋" w:cs="仿宋"/>
                <w:color w:val="auto"/>
                <w:sz w:val="24"/>
                <w:szCs w:val="24"/>
                <w:highlight w:val="none"/>
              </w:rPr>
            </w:pPr>
          </w:p>
        </w:tc>
        <w:tc>
          <w:tcPr>
            <w:tcW w:w="1461" w:type="dxa"/>
          </w:tcPr>
          <w:p w14:paraId="6167CAF5">
            <w:pPr>
              <w:outlineLvl w:val="9"/>
              <w:rPr>
                <w:rFonts w:hint="eastAsia" w:ascii="仿宋" w:hAnsi="仿宋" w:eastAsia="仿宋" w:cs="仿宋"/>
                <w:color w:val="auto"/>
                <w:sz w:val="24"/>
                <w:szCs w:val="24"/>
                <w:highlight w:val="none"/>
              </w:rPr>
            </w:pPr>
          </w:p>
        </w:tc>
        <w:tc>
          <w:tcPr>
            <w:tcW w:w="1623" w:type="dxa"/>
          </w:tcPr>
          <w:p w14:paraId="3059FE42">
            <w:pPr>
              <w:outlineLvl w:val="9"/>
              <w:rPr>
                <w:rFonts w:hint="eastAsia" w:ascii="仿宋" w:hAnsi="仿宋" w:eastAsia="仿宋" w:cs="仿宋"/>
                <w:color w:val="auto"/>
                <w:sz w:val="24"/>
                <w:szCs w:val="24"/>
                <w:highlight w:val="none"/>
              </w:rPr>
            </w:pPr>
          </w:p>
        </w:tc>
        <w:tc>
          <w:tcPr>
            <w:tcW w:w="832" w:type="dxa"/>
          </w:tcPr>
          <w:p w14:paraId="30850A95">
            <w:pPr>
              <w:outlineLvl w:val="9"/>
              <w:rPr>
                <w:rFonts w:hint="eastAsia" w:ascii="仿宋" w:hAnsi="仿宋" w:eastAsia="仿宋" w:cs="仿宋"/>
                <w:color w:val="auto"/>
                <w:sz w:val="24"/>
                <w:szCs w:val="24"/>
                <w:highlight w:val="none"/>
              </w:rPr>
            </w:pPr>
          </w:p>
        </w:tc>
        <w:tc>
          <w:tcPr>
            <w:tcW w:w="822" w:type="dxa"/>
          </w:tcPr>
          <w:p w14:paraId="48CF1B2F">
            <w:pPr>
              <w:outlineLvl w:val="9"/>
              <w:rPr>
                <w:rFonts w:hint="eastAsia" w:ascii="仿宋" w:hAnsi="仿宋" w:eastAsia="仿宋" w:cs="仿宋"/>
                <w:color w:val="auto"/>
                <w:sz w:val="24"/>
                <w:szCs w:val="24"/>
                <w:highlight w:val="none"/>
              </w:rPr>
            </w:pPr>
          </w:p>
        </w:tc>
        <w:tc>
          <w:tcPr>
            <w:tcW w:w="514" w:type="dxa"/>
          </w:tcPr>
          <w:p w14:paraId="023D1071">
            <w:pPr>
              <w:outlineLvl w:val="9"/>
              <w:rPr>
                <w:rFonts w:hint="eastAsia" w:ascii="仿宋" w:hAnsi="仿宋" w:eastAsia="仿宋" w:cs="仿宋"/>
                <w:color w:val="auto"/>
                <w:sz w:val="24"/>
                <w:szCs w:val="24"/>
                <w:highlight w:val="none"/>
              </w:rPr>
            </w:pPr>
          </w:p>
        </w:tc>
        <w:tc>
          <w:tcPr>
            <w:tcW w:w="1377" w:type="dxa"/>
          </w:tcPr>
          <w:p w14:paraId="13E9BCE3">
            <w:pPr>
              <w:outlineLvl w:val="9"/>
              <w:rPr>
                <w:rFonts w:hint="eastAsia" w:ascii="仿宋" w:hAnsi="仿宋" w:eastAsia="仿宋" w:cs="仿宋"/>
                <w:color w:val="auto"/>
                <w:sz w:val="24"/>
                <w:szCs w:val="24"/>
                <w:highlight w:val="none"/>
              </w:rPr>
            </w:pPr>
          </w:p>
        </w:tc>
        <w:tc>
          <w:tcPr>
            <w:tcW w:w="1386" w:type="dxa"/>
          </w:tcPr>
          <w:p w14:paraId="33062DB7">
            <w:pPr>
              <w:outlineLvl w:val="9"/>
              <w:rPr>
                <w:rFonts w:hint="eastAsia" w:ascii="仿宋" w:hAnsi="仿宋" w:eastAsia="仿宋" w:cs="仿宋"/>
                <w:color w:val="auto"/>
                <w:sz w:val="24"/>
                <w:szCs w:val="24"/>
                <w:highlight w:val="none"/>
              </w:rPr>
            </w:pPr>
          </w:p>
        </w:tc>
      </w:tr>
      <w:tr w14:paraId="09F5B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14:paraId="7E0DAE41">
            <w:pPr>
              <w:outlineLvl w:val="9"/>
              <w:rPr>
                <w:rFonts w:hint="eastAsia" w:ascii="仿宋" w:hAnsi="仿宋" w:eastAsia="仿宋" w:cs="仿宋"/>
                <w:color w:val="auto"/>
                <w:sz w:val="24"/>
                <w:szCs w:val="24"/>
                <w:highlight w:val="none"/>
              </w:rPr>
            </w:pPr>
          </w:p>
        </w:tc>
        <w:tc>
          <w:tcPr>
            <w:tcW w:w="1461" w:type="dxa"/>
          </w:tcPr>
          <w:p w14:paraId="42E5A5CE">
            <w:pPr>
              <w:outlineLvl w:val="9"/>
              <w:rPr>
                <w:rFonts w:hint="eastAsia" w:ascii="仿宋" w:hAnsi="仿宋" w:eastAsia="仿宋" w:cs="仿宋"/>
                <w:color w:val="auto"/>
                <w:sz w:val="24"/>
                <w:szCs w:val="24"/>
                <w:highlight w:val="none"/>
              </w:rPr>
            </w:pPr>
          </w:p>
        </w:tc>
        <w:tc>
          <w:tcPr>
            <w:tcW w:w="1623" w:type="dxa"/>
          </w:tcPr>
          <w:p w14:paraId="3BCCE6DE">
            <w:pPr>
              <w:outlineLvl w:val="9"/>
              <w:rPr>
                <w:rFonts w:hint="eastAsia" w:ascii="仿宋" w:hAnsi="仿宋" w:eastAsia="仿宋" w:cs="仿宋"/>
                <w:color w:val="auto"/>
                <w:sz w:val="24"/>
                <w:szCs w:val="24"/>
                <w:highlight w:val="none"/>
              </w:rPr>
            </w:pPr>
          </w:p>
        </w:tc>
        <w:tc>
          <w:tcPr>
            <w:tcW w:w="832" w:type="dxa"/>
          </w:tcPr>
          <w:p w14:paraId="1FF9D919">
            <w:pPr>
              <w:outlineLvl w:val="9"/>
              <w:rPr>
                <w:rFonts w:hint="eastAsia" w:ascii="仿宋" w:hAnsi="仿宋" w:eastAsia="仿宋" w:cs="仿宋"/>
                <w:color w:val="auto"/>
                <w:sz w:val="24"/>
                <w:szCs w:val="24"/>
                <w:highlight w:val="none"/>
              </w:rPr>
            </w:pPr>
          </w:p>
        </w:tc>
        <w:tc>
          <w:tcPr>
            <w:tcW w:w="822" w:type="dxa"/>
          </w:tcPr>
          <w:p w14:paraId="68A6F2F5">
            <w:pPr>
              <w:outlineLvl w:val="9"/>
              <w:rPr>
                <w:rFonts w:hint="eastAsia" w:ascii="仿宋" w:hAnsi="仿宋" w:eastAsia="仿宋" w:cs="仿宋"/>
                <w:color w:val="auto"/>
                <w:sz w:val="24"/>
                <w:szCs w:val="24"/>
                <w:highlight w:val="none"/>
              </w:rPr>
            </w:pPr>
          </w:p>
        </w:tc>
        <w:tc>
          <w:tcPr>
            <w:tcW w:w="514" w:type="dxa"/>
          </w:tcPr>
          <w:p w14:paraId="355F42DB">
            <w:pPr>
              <w:outlineLvl w:val="9"/>
              <w:rPr>
                <w:rFonts w:hint="eastAsia" w:ascii="仿宋" w:hAnsi="仿宋" w:eastAsia="仿宋" w:cs="仿宋"/>
                <w:color w:val="auto"/>
                <w:sz w:val="24"/>
                <w:szCs w:val="24"/>
                <w:highlight w:val="none"/>
              </w:rPr>
            </w:pPr>
          </w:p>
        </w:tc>
        <w:tc>
          <w:tcPr>
            <w:tcW w:w="1377" w:type="dxa"/>
          </w:tcPr>
          <w:p w14:paraId="5F308CA7">
            <w:pPr>
              <w:outlineLvl w:val="9"/>
              <w:rPr>
                <w:rFonts w:hint="eastAsia" w:ascii="仿宋" w:hAnsi="仿宋" w:eastAsia="仿宋" w:cs="仿宋"/>
                <w:color w:val="auto"/>
                <w:sz w:val="24"/>
                <w:szCs w:val="24"/>
                <w:highlight w:val="none"/>
              </w:rPr>
            </w:pPr>
          </w:p>
        </w:tc>
        <w:tc>
          <w:tcPr>
            <w:tcW w:w="1386" w:type="dxa"/>
          </w:tcPr>
          <w:p w14:paraId="33C45051">
            <w:pPr>
              <w:outlineLvl w:val="9"/>
              <w:rPr>
                <w:rFonts w:hint="eastAsia" w:ascii="仿宋" w:hAnsi="仿宋" w:eastAsia="仿宋" w:cs="仿宋"/>
                <w:color w:val="auto"/>
                <w:sz w:val="24"/>
                <w:szCs w:val="24"/>
                <w:highlight w:val="none"/>
              </w:rPr>
            </w:pPr>
          </w:p>
        </w:tc>
      </w:tr>
      <w:tr w14:paraId="3F10E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14:paraId="282C724C">
            <w:pPr>
              <w:outlineLvl w:val="9"/>
              <w:rPr>
                <w:rFonts w:hint="eastAsia" w:ascii="仿宋" w:hAnsi="仿宋" w:eastAsia="仿宋" w:cs="仿宋"/>
                <w:color w:val="auto"/>
                <w:sz w:val="24"/>
                <w:szCs w:val="24"/>
                <w:highlight w:val="none"/>
              </w:rPr>
            </w:pPr>
          </w:p>
        </w:tc>
        <w:tc>
          <w:tcPr>
            <w:tcW w:w="1461" w:type="dxa"/>
          </w:tcPr>
          <w:p w14:paraId="73A0DF4B">
            <w:pPr>
              <w:outlineLvl w:val="9"/>
              <w:rPr>
                <w:rFonts w:hint="eastAsia" w:ascii="仿宋" w:hAnsi="仿宋" w:eastAsia="仿宋" w:cs="仿宋"/>
                <w:color w:val="auto"/>
                <w:sz w:val="24"/>
                <w:szCs w:val="24"/>
                <w:highlight w:val="none"/>
              </w:rPr>
            </w:pPr>
          </w:p>
        </w:tc>
        <w:tc>
          <w:tcPr>
            <w:tcW w:w="1623" w:type="dxa"/>
          </w:tcPr>
          <w:p w14:paraId="41796DCA">
            <w:pPr>
              <w:outlineLvl w:val="9"/>
              <w:rPr>
                <w:rFonts w:hint="eastAsia" w:ascii="仿宋" w:hAnsi="仿宋" w:eastAsia="仿宋" w:cs="仿宋"/>
                <w:color w:val="auto"/>
                <w:sz w:val="24"/>
                <w:szCs w:val="24"/>
                <w:highlight w:val="none"/>
              </w:rPr>
            </w:pPr>
          </w:p>
        </w:tc>
        <w:tc>
          <w:tcPr>
            <w:tcW w:w="832" w:type="dxa"/>
          </w:tcPr>
          <w:p w14:paraId="0B8E5038">
            <w:pPr>
              <w:outlineLvl w:val="9"/>
              <w:rPr>
                <w:rFonts w:hint="eastAsia" w:ascii="仿宋" w:hAnsi="仿宋" w:eastAsia="仿宋" w:cs="仿宋"/>
                <w:color w:val="auto"/>
                <w:sz w:val="24"/>
                <w:szCs w:val="24"/>
                <w:highlight w:val="none"/>
              </w:rPr>
            </w:pPr>
          </w:p>
        </w:tc>
        <w:tc>
          <w:tcPr>
            <w:tcW w:w="822" w:type="dxa"/>
          </w:tcPr>
          <w:p w14:paraId="53A51C3E">
            <w:pPr>
              <w:outlineLvl w:val="9"/>
              <w:rPr>
                <w:rFonts w:hint="eastAsia" w:ascii="仿宋" w:hAnsi="仿宋" w:eastAsia="仿宋" w:cs="仿宋"/>
                <w:color w:val="auto"/>
                <w:sz w:val="24"/>
                <w:szCs w:val="24"/>
                <w:highlight w:val="none"/>
              </w:rPr>
            </w:pPr>
          </w:p>
        </w:tc>
        <w:tc>
          <w:tcPr>
            <w:tcW w:w="514" w:type="dxa"/>
          </w:tcPr>
          <w:p w14:paraId="0967DAF5">
            <w:pPr>
              <w:outlineLvl w:val="9"/>
              <w:rPr>
                <w:rFonts w:hint="eastAsia" w:ascii="仿宋" w:hAnsi="仿宋" w:eastAsia="仿宋" w:cs="仿宋"/>
                <w:color w:val="auto"/>
                <w:sz w:val="24"/>
                <w:szCs w:val="24"/>
                <w:highlight w:val="none"/>
              </w:rPr>
            </w:pPr>
          </w:p>
        </w:tc>
        <w:tc>
          <w:tcPr>
            <w:tcW w:w="1377" w:type="dxa"/>
          </w:tcPr>
          <w:p w14:paraId="18403233">
            <w:pPr>
              <w:outlineLvl w:val="9"/>
              <w:rPr>
                <w:rFonts w:hint="eastAsia" w:ascii="仿宋" w:hAnsi="仿宋" w:eastAsia="仿宋" w:cs="仿宋"/>
                <w:color w:val="auto"/>
                <w:sz w:val="24"/>
                <w:szCs w:val="24"/>
                <w:highlight w:val="none"/>
              </w:rPr>
            </w:pPr>
          </w:p>
        </w:tc>
        <w:tc>
          <w:tcPr>
            <w:tcW w:w="1386" w:type="dxa"/>
          </w:tcPr>
          <w:p w14:paraId="0528EC44">
            <w:pPr>
              <w:outlineLvl w:val="9"/>
              <w:rPr>
                <w:rFonts w:hint="eastAsia" w:ascii="仿宋" w:hAnsi="仿宋" w:eastAsia="仿宋" w:cs="仿宋"/>
                <w:color w:val="auto"/>
                <w:sz w:val="24"/>
                <w:szCs w:val="24"/>
                <w:highlight w:val="none"/>
              </w:rPr>
            </w:pPr>
          </w:p>
        </w:tc>
      </w:tr>
      <w:tr w14:paraId="03C76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85" w:type="dxa"/>
            <w:gridSpan w:val="3"/>
          </w:tcPr>
          <w:p w14:paraId="0FBFCB5C">
            <w:pPr>
              <w:outlineLvl w:val="9"/>
              <w:rPr>
                <w:rFonts w:hint="eastAsia" w:ascii="仿宋" w:hAnsi="仿宋" w:eastAsia="仿宋" w:cs="仿宋"/>
                <w:color w:val="auto"/>
                <w:sz w:val="24"/>
                <w:szCs w:val="24"/>
                <w:highlight w:val="none"/>
              </w:rPr>
            </w:pPr>
            <w:bookmarkStart w:id="43" w:name="_Toc10934"/>
            <w:bookmarkStart w:id="44" w:name="_Toc16401"/>
            <w:bookmarkStart w:id="45" w:name="_Toc25107"/>
            <w:bookmarkStart w:id="46" w:name="_Toc15703"/>
            <w:bookmarkStart w:id="47" w:name="_Toc18746"/>
            <w:r>
              <w:rPr>
                <w:rFonts w:hint="eastAsia" w:ascii="仿宋" w:hAnsi="仿宋" w:eastAsia="仿宋" w:cs="仿宋"/>
                <w:color w:val="auto"/>
                <w:sz w:val="24"/>
                <w:szCs w:val="24"/>
                <w:highlight w:val="none"/>
              </w:rPr>
              <w:t>合计</w:t>
            </w:r>
            <w:bookmarkEnd w:id="43"/>
            <w:bookmarkEnd w:id="44"/>
            <w:bookmarkEnd w:id="45"/>
            <w:bookmarkEnd w:id="46"/>
            <w:bookmarkEnd w:id="47"/>
          </w:p>
        </w:tc>
        <w:tc>
          <w:tcPr>
            <w:tcW w:w="4931" w:type="dxa"/>
            <w:gridSpan w:val="5"/>
          </w:tcPr>
          <w:p w14:paraId="4542B2C3">
            <w:pPr>
              <w:outlineLvl w:val="9"/>
              <w:rPr>
                <w:rFonts w:hint="eastAsia" w:ascii="仿宋" w:hAnsi="仿宋" w:eastAsia="仿宋" w:cs="仿宋"/>
                <w:color w:val="auto"/>
                <w:sz w:val="24"/>
                <w:szCs w:val="24"/>
                <w:highlight w:val="none"/>
              </w:rPr>
            </w:pPr>
            <w:bookmarkStart w:id="48" w:name="_Toc3316"/>
            <w:bookmarkStart w:id="49" w:name="_Toc31431"/>
            <w:bookmarkStart w:id="50" w:name="_Toc18304"/>
            <w:bookmarkStart w:id="51" w:name="_Toc9771"/>
            <w:bookmarkStart w:id="52" w:name="_Toc10002"/>
            <w:r>
              <w:rPr>
                <w:rFonts w:hint="eastAsia" w:ascii="仿宋" w:hAnsi="仿宋" w:eastAsia="仿宋" w:cs="仿宋"/>
                <w:color w:val="auto"/>
                <w:sz w:val="24"/>
                <w:szCs w:val="24"/>
                <w:highlight w:val="none"/>
              </w:rPr>
              <w:t>¥</w:t>
            </w:r>
            <w:bookmarkEnd w:id="48"/>
            <w:bookmarkEnd w:id="49"/>
            <w:bookmarkEnd w:id="50"/>
            <w:bookmarkEnd w:id="51"/>
            <w:bookmarkEnd w:id="52"/>
          </w:p>
        </w:tc>
      </w:tr>
    </w:tbl>
    <w:p w14:paraId="2929CF9D">
      <w:pPr>
        <w:pStyle w:val="6"/>
        <w:spacing w:line="360" w:lineRule="auto"/>
        <w:jc w:val="both"/>
        <w:rPr>
          <w:rFonts w:hint="eastAsia" w:ascii="仿宋" w:hAnsi="仿宋" w:eastAsia="仿宋" w:cs="仿宋"/>
          <w:color w:val="auto"/>
          <w:sz w:val="24"/>
          <w:szCs w:val="24"/>
          <w:highlight w:val="none"/>
        </w:rPr>
      </w:pPr>
      <w:bookmarkStart w:id="53" w:name="_Toc14881"/>
      <w:bookmarkStart w:id="54" w:name="_Toc6586"/>
      <w:bookmarkStart w:id="55" w:name="_Toc28512"/>
      <w:r>
        <w:rPr>
          <w:rFonts w:hint="eastAsia" w:ascii="仿宋" w:hAnsi="仿宋" w:eastAsia="仿宋" w:cs="仿宋"/>
          <w:color w:val="auto"/>
          <w:sz w:val="24"/>
          <w:szCs w:val="24"/>
          <w:highlight w:val="none"/>
        </w:rPr>
        <w:t>第二条 合同价款</w:t>
      </w:r>
      <w:bookmarkEnd w:id="53"/>
      <w:bookmarkEnd w:id="54"/>
      <w:bookmarkEnd w:id="55"/>
    </w:p>
    <w:p w14:paraId="44F8F86F">
      <w:pPr>
        <w:spacing w:line="360" w:lineRule="auto"/>
        <w:ind w:firstLine="480" w:firstLineChars="200"/>
        <w:jc w:val="both"/>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1.合同总价：人民币（大写）</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元，（￥</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w:t>
      </w:r>
    </w:p>
    <w:p w14:paraId="00FE2563">
      <w:pPr>
        <w:spacing w:line="360" w:lineRule="auto"/>
        <w:ind w:firstLine="480" w:firstLineChars="200"/>
        <w:jc w:val="left"/>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2.本合同总价是产品、</w:t>
      </w:r>
      <w:r>
        <w:rPr>
          <w:rFonts w:hint="eastAsia" w:ascii="仿宋" w:hAnsi="仿宋" w:eastAsia="仿宋" w:cs="仿宋"/>
          <w:b w:val="0"/>
          <w:color w:val="auto"/>
          <w:sz w:val="24"/>
          <w:szCs w:val="24"/>
          <w:highlight w:val="none"/>
          <w:lang w:val="en-US" w:eastAsia="zh-CN"/>
        </w:rPr>
        <w:t>辅材</w:t>
      </w:r>
      <w:r>
        <w:rPr>
          <w:rFonts w:hint="eastAsia" w:ascii="仿宋" w:hAnsi="仿宋" w:eastAsia="仿宋" w:cs="仿宋"/>
          <w:b w:val="0"/>
          <w:color w:val="auto"/>
          <w:sz w:val="24"/>
          <w:szCs w:val="24"/>
          <w:highlight w:val="none"/>
        </w:rPr>
        <w:t>、制造、包装、运输、安装、调试、检测、验收合格交付使用之前及保修期内保修服务与备用物件等其他有关各项的含税费用。</w:t>
      </w:r>
    </w:p>
    <w:p w14:paraId="66FE1ABD">
      <w:pPr>
        <w:spacing w:line="360" w:lineRule="auto"/>
        <w:ind w:firstLine="480" w:firstLineChars="200"/>
        <w:jc w:val="both"/>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3.本合同总价还包含乙方应当提供的伴随服务和售后服务费用。</w:t>
      </w:r>
    </w:p>
    <w:p w14:paraId="50B6A5A4">
      <w:pPr>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b w:val="0"/>
          <w:color w:val="auto"/>
          <w:sz w:val="24"/>
          <w:szCs w:val="24"/>
          <w:highlight w:val="none"/>
        </w:rPr>
        <w:t>4.本合同执行期间合同总价不变，甲方无须另向乙方支付本合同规定之外的其他任何费用。</w:t>
      </w:r>
      <w:bookmarkStart w:id="56" w:name="_Toc31924"/>
    </w:p>
    <w:p w14:paraId="3052C521">
      <w:pPr>
        <w:pStyle w:val="6"/>
        <w:spacing w:line="360" w:lineRule="auto"/>
        <w:jc w:val="both"/>
        <w:rPr>
          <w:rFonts w:hint="default" w:ascii="仿宋" w:hAnsi="仿宋" w:eastAsia="仿宋" w:cs="仿宋"/>
          <w:color w:val="auto"/>
          <w:sz w:val="24"/>
          <w:szCs w:val="24"/>
          <w:highlight w:val="none"/>
          <w:lang w:val="en-US" w:eastAsia="zh-CN"/>
        </w:rPr>
      </w:pPr>
      <w:bookmarkStart w:id="57" w:name="_Toc2721"/>
      <w:bookmarkStart w:id="58" w:name="_Toc14426"/>
      <w:r>
        <w:rPr>
          <w:rFonts w:hint="eastAsia" w:ascii="仿宋" w:hAnsi="仿宋" w:eastAsia="仿宋" w:cs="仿宋"/>
          <w:color w:val="auto"/>
          <w:sz w:val="24"/>
          <w:szCs w:val="24"/>
          <w:highlight w:val="none"/>
        </w:rPr>
        <w:t xml:space="preserve">第三条 </w:t>
      </w:r>
      <w:r>
        <w:rPr>
          <w:rFonts w:hint="eastAsia" w:ascii="仿宋" w:hAnsi="仿宋" w:eastAsia="仿宋" w:cs="仿宋"/>
          <w:color w:val="auto"/>
          <w:sz w:val="24"/>
          <w:szCs w:val="24"/>
          <w:highlight w:val="none"/>
          <w:lang w:val="en-US" w:eastAsia="zh-CN"/>
        </w:rPr>
        <w:t>合同价款</w:t>
      </w:r>
      <w:r>
        <w:rPr>
          <w:rFonts w:hint="eastAsia" w:ascii="仿宋" w:hAnsi="仿宋" w:eastAsia="仿宋" w:cs="仿宋"/>
          <w:color w:val="auto"/>
          <w:sz w:val="24"/>
          <w:szCs w:val="24"/>
          <w:highlight w:val="none"/>
        </w:rPr>
        <w:t>支付</w:t>
      </w:r>
      <w:bookmarkEnd w:id="56"/>
      <w:bookmarkEnd w:id="57"/>
      <w:bookmarkEnd w:id="58"/>
    </w:p>
    <w:p w14:paraId="36F8AF29">
      <w:pPr>
        <w:pStyle w:val="13"/>
        <w:numPr>
          <w:ilvl w:val="0"/>
          <w:numId w:val="0"/>
        </w:numPr>
        <w:spacing w:line="360" w:lineRule="auto"/>
        <w:ind w:firstLine="480" w:firstLineChars="200"/>
        <w:outlineLvl w:val="1"/>
        <w:rPr>
          <w:rFonts w:hint="eastAsia" w:ascii="仿宋" w:hAnsi="仿宋" w:eastAsia="仿宋" w:cs="仿宋"/>
          <w:b/>
          <w:color w:val="auto"/>
          <w:highlight w:val="none"/>
          <w:lang w:val="en-US" w:eastAsia="zh-CN"/>
        </w:rPr>
      </w:pPr>
      <w:bookmarkStart w:id="59" w:name="_Toc7450"/>
      <w:bookmarkStart w:id="60" w:name="_Toc7176"/>
      <w:bookmarkStart w:id="61" w:name="_Toc24977"/>
      <w:r>
        <w:rPr>
          <w:rFonts w:hint="eastAsia" w:ascii="仿宋" w:hAnsi="仿宋" w:eastAsia="仿宋" w:cs="仿宋"/>
          <w:color w:val="auto"/>
          <w:sz w:val="24"/>
          <w:szCs w:val="24"/>
          <w:highlight w:val="none"/>
        </w:rPr>
        <w:t>合同签订后，达到付款条件起</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日内，支付合同总金额的</w:t>
      </w:r>
      <w:r>
        <w:rPr>
          <w:rFonts w:hint="eastAsia" w:ascii="仿宋" w:hAnsi="仿宋" w:eastAsia="仿宋" w:cs="仿宋"/>
          <w:color w:val="auto"/>
          <w:sz w:val="24"/>
          <w:szCs w:val="24"/>
          <w:highlight w:val="none"/>
          <w:lang w:val="en-US" w:eastAsia="zh-CN"/>
        </w:rPr>
        <w:t>40</w:t>
      </w:r>
      <w:r>
        <w:rPr>
          <w:rFonts w:hint="eastAsia" w:ascii="仿宋" w:hAnsi="仿宋" w:eastAsia="仿宋" w:cs="仿宋"/>
          <w:color w:val="auto"/>
          <w:sz w:val="24"/>
          <w:szCs w:val="24"/>
          <w:highlight w:val="none"/>
        </w:rPr>
        <w:t>.00%。安装调试验收合格后，达到付款条件起</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日内，支付合同总金额的</w:t>
      </w:r>
      <w:r>
        <w:rPr>
          <w:rFonts w:hint="eastAsia" w:ascii="仿宋" w:hAnsi="仿宋" w:eastAsia="仿宋" w:cs="仿宋"/>
          <w:color w:val="auto"/>
          <w:sz w:val="24"/>
          <w:szCs w:val="24"/>
          <w:highlight w:val="none"/>
          <w:lang w:val="en-US" w:eastAsia="zh-CN"/>
        </w:rPr>
        <w:t>60</w:t>
      </w:r>
      <w:r>
        <w:rPr>
          <w:rFonts w:hint="eastAsia" w:ascii="仿宋" w:hAnsi="仿宋" w:eastAsia="仿宋" w:cs="仿宋"/>
          <w:color w:val="auto"/>
          <w:sz w:val="24"/>
          <w:szCs w:val="24"/>
          <w:highlight w:val="none"/>
        </w:rPr>
        <w:t>.00%。</w:t>
      </w:r>
    </w:p>
    <w:p w14:paraId="09A8169F">
      <w:pPr>
        <w:pStyle w:val="6"/>
        <w:spacing w:line="360" w:lineRule="auto"/>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第四条 </w:t>
      </w:r>
      <w:r>
        <w:rPr>
          <w:rFonts w:hint="eastAsia" w:ascii="仿宋" w:hAnsi="仿宋" w:eastAsia="仿宋" w:cs="仿宋"/>
          <w:color w:val="auto"/>
          <w:sz w:val="24"/>
          <w:szCs w:val="24"/>
          <w:highlight w:val="none"/>
        </w:rPr>
        <w:t>交</w:t>
      </w:r>
      <w:r>
        <w:rPr>
          <w:rFonts w:hint="eastAsia" w:ascii="仿宋" w:hAnsi="仿宋" w:eastAsia="仿宋" w:cs="仿宋"/>
          <w:color w:val="auto"/>
          <w:sz w:val="24"/>
          <w:szCs w:val="24"/>
          <w:highlight w:val="none"/>
          <w:lang w:val="en-US" w:eastAsia="zh-CN"/>
        </w:rPr>
        <w:t>货期限</w:t>
      </w:r>
      <w:bookmarkEnd w:id="59"/>
      <w:bookmarkEnd w:id="60"/>
      <w:bookmarkEnd w:id="61"/>
    </w:p>
    <w:p w14:paraId="60135624">
      <w:pPr>
        <w:pStyle w:val="6"/>
        <w:spacing w:line="360" w:lineRule="auto"/>
        <w:ind w:firstLine="480" w:firstLineChars="200"/>
        <w:jc w:val="both"/>
        <w:rPr>
          <w:rFonts w:hint="eastAsia" w:ascii="仿宋" w:hAnsi="仿宋" w:eastAsia="仿宋" w:cs="仿宋"/>
          <w:b w:val="0"/>
          <w:bCs w:val="0"/>
          <w:color w:val="auto"/>
          <w:kern w:val="1"/>
          <w:sz w:val="24"/>
          <w:szCs w:val="24"/>
          <w:highlight w:val="none"/>
          <w:lang w:val="en-US" w:eastAsia="zh-CN" w:bidi="ar-SA"/>
        </w:rPr>
      </w:pPr>
      <w:bookmarkStart w:id="62" w:name="_Toc8595"/>
      <w:r>
        <w:rPr>
          <w:rFonts w:hint="eastAsia" w:ascii="仿宋" w:hAnsi="仿宋" w:eastAsia="仿宋" w:cs="仿宋"/>
          <w:b w:val="0"/>
          <w:bCs w:val="0"/>
          <w:color w:val="auto"/>
          <w:kern w:val="1"/>
          <w:sz w:val="24"/>
          <w:szCs w:val="24"/>
          <w:highlight w:val="none"/>
          <w:lang w:val="en-US" w:eastAsia="zh-CN" w:bidi="ar-SA"/>
        </w:rPr>
        <w:t>自合同签订之日起，供应商应在合同签订后45日历日内，完成所有系统部署实施。</w:t>
      </w:r>
    </w:p>
    <w:p w14:paraId="092B294C">
      <w:pPr>
        <w:pStyle w:val="6"/>
        <w:spacing w:line="360" w:lineRule="auto"/>
        <w:jc w:val="both"/>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bookmarkStart w:id="63" w:name="_Toc2774"/>
      <w:bookmarkStart w:id="64" w:name="_Toc18347"/>
      <w:r>
        <w:rPr>
          <w:rFonts w:hint="eastAsia" w:ascii="仿宋" w:hAnsi="仿宋" w:eastAsia="仿宋" w:cs="仿宋"/>
          <w:color w:val="auto"/>
          <w:sz w:val="24"/>
          <w:szCs w:val="24"/>
          <w:highlight w:val="none"/>
          <w:lang w:val="en-US" w:eastAsia="zh-CN"/>
        </w:rPr>
        <w:t xml:space="preserve">第五条 </w:t>
      </w:r>
      <w:bookmarkEnd w:id="62"/>
      <w:bookmarkEnd w:id="63"/>
      <w:bookmarkEnd w:id="64"/>
      <w:r>
        <w:rPr>
          <w:rFonts w:ascii="仿宋_GB2312" w:hAnsi="仿宋_GB2312" w:eastAsia="仿宋_GB2312" w:cs="仿宋_GB2312"/>
          <w:b/>
          <w:sz w:val="24"/>
        </w:rPr>
        <w:t>考核（验收）标准和方法</w:t>
      </w:r>
    </w:p>
    <w:p w14:paraId="4AB71319">
      <w:pPr>
        <w:pStyle w:val="15"/>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kern w:val="1"/>
          <w:sz w:val="24"/>
          <w:szCs w:val="24"/>
          <w:highlight w:val="none"/>
          <w:lang w:val="en-US" w:eastAsia="zh-CN" w:bidi="ar-SA"/>
        </w:rPr>
      </w:pPr>
      <w:bookmarkStart w:id="65" w:name="_Toc26000"/>
      <w:bookmarkStart w:id="66" w:name="_Toc23635"/>
      <w:bookmarkStart w:id="67" w:name="_Toc5147"/>
      <w:r>
        <w:rPr>
          <w:rFonts w:hint="eastAsia" w:ascii="仿宋" w:hAnsi="仿宋" w:eastAsia="仿宋" w:cs="仿宋"/>
          <w:b w:val="0"/>
          <w:bCs w:val="0"/>
          <w:color w:val="auto"/>
          <w:kern w:val="1"/>
          <w:sz w:val="24"/>
          <w:szCs w:val="24"/>
          <w:highlight w:val="none"/>
          <w:lang w:val="en-US" w:eastAsia="zh-CN" w:bidi="ar-SA"/>
        </w:rPr>
        <w:t>采购人应在投</w:t>
      </w:r>
      <w:bookmarkStart w:id="83" w:name="_GoBack"/>
      <w:bookmarkEnd w:id="83"/>
      <w:r>
        <w:rPr>
          <w:rFonts w:hint="eastAsia" w:ascii="仿宋" w:hAnsi="仿宋" w:eastAsia="仿宋" w:cs="仿宋"/>
          <w:b w:val="0"/>
          <w:bCs w:val="0"/>
          <w:color w:val="auto"/>
          <w:kern w:val="1"/>
          <w:sz w:val="24"/>
          <w:szCs w:val="24"/>
          <w:highlight w:val="none"/>
          <w:lang w:val="en-US" w:eastAsia="zh-CN" w:bidi="ar-SA"/>
        </w:rPr>
        <w:t xml:space="preserve">标人履行合同义务后，按照合同规定的采购需求、技术、质量、服务、安全标准等内容，对成交供应商履约情况进行验收，对其产品(设备)技术指标、性能参数以及工程质量是否达到现行国家有关验收规范“合格”标准进行逐项检查。 </w:t>
      </w:r>
    </w:p>
    <w:p w14:paraId="1F21CDEE">
      <w:pPr>
        <w:pStyle w:val="15"/>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kern w:val="1"/>
          <w:sz w:val="24"/>
          <w:szCs w:val="24"/>
          <w:highlight w:val="none"/>
          <w:lang w:val="en-US" w:eastAsia="zh-CN" w:bidi="ar-SA"/>
        </w:rPr>
      </w:pPr>
      <w:r>
        <w:rPr>
          <w:rFonts w:hint="eastAsia" w:ascii="仿宋" w:hAnsi="仿宋" w:eastAsia="仿宋" w:cs="仿宋"/>
          <w:b w:val="0"/>
          <w:bCs w:val="0"/>
          <w:color w:val="auto"/>
          <w:kern w:val="1"/>
          <w:sz w:val="24"/>
          <w:szCs w:val="24"/>
          <w:lang w:val="en-US" w:eastAsia="zh-CN" w:bidi="ar-SA"/>
        </w:rPr>
        <w:t>1.</w:t>
      </w:r>
      <w:r>
        <w:rPr>
          <w:rFonts w:hint="eastAsia" w:ascii="仿宋" w:hAnsi="仿宋" w:eastAsia="仿宋" w:cs="仿宋"/>
          <w:b w:val="0"/>
          <w:bCs w:val="0"/>
          <w:color w:val="auto"/>
          <w:kern w:val="1"/>
          <w:sz w:val="24"/>
          <w:szCs w:val="24"/>
          <w:highlight w:val="none"/>
          <w:lang w:val="en-US" w:eastAsia="zh-CN" w:bidi="ar-SA"/>
        </w:rPr>
        <w:t xml:space="preserve">所验产品(设备)的指标、性能参数通过验收达不到招标文件要求和投标文件承诺的，或在使用中发现采购人不能容忍的缺陷等，将视为设备(设备)验收不合格，投标人应无条件免费更换或退货。 </w:t>
      </w:r>
    </w:p>
    <w:p w14:paraId="53955F42">
      <w:pPr>
        <w:pStyle w:val="15"/>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kern w:val="1"/>
          <w:sz w:val="24"/>
          <w:szCs w:val="24"/>
          <w:highlight w:val="none"/>
          <w:lang w:val="en-US" w:eastAsia="zh-CN" w:bidi="ar-SA"/>
        </w:rPr>
      </w:pPr>
      <w:r>
        <w:rPr>
          <w:rFonts w:hint="eastAsia" w:ascii="仿宋" w:hAnsi="仿宋" w:eastAsia="仿宋" w:cs="仿宋"/>
          <w:b w:val="0"/>
          <w:bCs w:val="0"/>
          <w:color w:val="auto"/>
          <w:kern w:val="1"/>
          <w:sz w:val="24"/>
          <w:szCs w:val="24"/>
          <w:highlight w:val="none"/>
          <w:lang w:val="en-US" w:eastAsia="zh-CN" w:bidi="ar-SA"/>
        </w:rPr>
        <w:t xml:space="preserve">2.若发现投标人有弄虚作假的，在投标阶段故意或随意夸大产品(设备) 技术性能，投标人应无条件退货，并赔偿采购人相应的损失。 </w:t>
      </w:r>
    </w:p>
    <w:p w14:paraId="3B2BD2E4">
      <w:pPr>
        <w:pStyle w:val="15"/>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kern w:val="1"/>
          <w:sz w:val="24"/>
          <w:szCs w:val="24"/>
          <w:highlight w:val="none"/>
          <w:lang w:val="en-US" w:eastAsia="zh-CN" w:bidi="ar-SA"/>
        </w:rPr>
      </w:pPr>
      <w:r>
        <w:rPr>
          <w:rFonts w:hint="eastAsia" w:ascii="仿宋" w:hAnsi="仿宋" w:eastAsia="仿宋" w:cs="仿宋"/>
          <w:b w:val="0"/>
          <w:bCs w:val="0"/>
          <w:color w:val="auto"/>
          <w:kern w:val="1"/>
          <w:sz w:val="24"/>
          <w:szCs w:val="24"/>
          <w:highlight w:val="none"/>
          <w:lang w:val="en-US" w:eastAsia="zh-CN" w:bidi="ar-SA"/>
        </w:rPr>
        <w:t>3.验收标准：按合同文本、招标文件、投标文件及澄清函等技术指标进行验收。各项指标均应符合验收标准及要求。</w:t>
      </w:r>
    </w:p>
    <w:p w14:paraId="673ABD77">
      <w:pPr>
        <w:pStyle w:val="15"/>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kern w:val="1"/>
          <w:sz w:val="24"/>
          <w:szCs w:val="24"/>
          <w:highlight w:val="none"/>
          <w:lang w:val="en-US" w:eastAsia="zh-CN" w:bidi="ar-SA"/>
        </w:rPr>
      </w:pPr>
      <w:r>
        <w:rPr>
          <w:rFonts w:hint="eastAsia" w:ascii="仿宋" w:hAnsi="仿宋" w:eastAsia="仿宋" w:cs="仿宋"/>
          <w:b w:val="0"/>
          <w:bCs w:val="0"/>
          <w:color w:val="auto"/>
          <w:kern w:val="1"/>
          <w:sz w:val="24"/>
          <w:szCs w:val="24"/>
          <w:highlight w:val="none"/>
          <w:lang w:val="en-US" w:eastAsia="zh-CN" w:bidi="ar-SA"/>
        </w:rPr>
        <w:t>4.验收合格后，填写验收单。</w:t>
      </w:r>
    </w:p>
    <w:p w14:paraId="05F88AFA">
      <w:pPr>
        <w:pStyle w:val="13"/>
        <w:spacing w:line="360" w:lineRule="auto"/>
        <w:outlineLvl w:val="1"/>
        <w:rPr>
          <w:rFonts w:hint="eastAsia" w:ascii="仿宋" w:hAnsi="仿宋" w:eastAsia="仿宋" w:cs="仿宋"/>
          <w:b/>
          <w:color w:val="auto"/>
          <w:highlight w:val="none"/>
        </w:rPr>
      </w:pPr>
      <w:r>
        <w:rPr>
          <w:rFonts w:hint="eastAsia" w:ascii="仿宋" w:hAnsi="仿宋" w:eastAsia="仿宋" w:cs="仿宋"/>
          <w:b/>
          <w:color w:val="auto"/>
          <w:highlight w:val="none"/>
        </w:rPr>
        <w:t>第六条 权利保证</w:t>
      </w:r>
      <w:bookmarkEnd w:id="65"/>
      <w:bookmarkEnd w:id="66"/>
      <w:bookmarkEnd w:id="67"/>
    </w:p>
    <w:p w14:paraId="63F24973">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1.乙方保证对其出售的货物享有合法的权利。</w:t>
      </w:r>
    </w:p>
    <w:p w14:paraId="68EE90FD">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2.乙方保证对其出售的货物上不存在任何未曾向甲方透露的担保物权，如抵押权、质押权、留置权。</w:t>
      </w:r>
    </w:p>
    <w:p w14:paraId="2229E764">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3.乙方保证对其出售的货物或其任何一部分没有侵犯第三方的专利权、版权、商标权或其他权利。</w:t>
      </w:r>
    </w:p>
    <w:p w14:paraId="40A07859">
      <w:pPr>
        <w:pStyle w:val="13"/>
        <w:spacing w:line="360" w:lineRule="auto"/>
        <w:ind w:firstLine="480" w:firstLineChars="200"/>
        <w:rPr>
          <w:rFonts w:hint="eastAsia" w:ascii="仿宋" w:hAnsi="仿宋" w:eastAsia="仿宋" w:cs="仿宋"/>
          <w:b/>
          <w:color w:val="auto"/>
          <w:highlight w:val="none"/>
        </w:rPr>
      </w:pPr>
      <w:r>
        <w:rPr>
          <w:rFonts w:hint="eastAsia" w:ascii="仿宋" w:hAnsi="仿宋" w:eastAsia="仿宋" w:cs="仿宋"/>
          <w:color w:val="auto"/>
          <w:highlight w:val="none"/>
        </w:rPr>
        <w:t>4.如甲方在使用该货物构成上述侵权的，则由乙方承担全部责任。</w:t>
      </w:r>
    </w:p>
    <w:p w14:paraId="6C8C3E9A">
      <w:pPr>
        <w:pStyle w:val="13"/>
        <w:spacing w:line="360" w:lineRule="auto"/>
        <w:outlineLvl w:val="1"/>
        <w:rPr>
          <w:rFonts w:hint="default" w:ascii="仿宋" w:hAnsi="仿宋" w:eastAsia="仿宋" w:cs="仿宋"/>
          <w:b/>
          <w:color w:val="auto"/>
          <w:highlight w:val="none"/>
          <w:lang w:val="en-US" w:eastAsia="zh-CN"/>
        </w:rPr>
      </w:pPr>
      <w:bookmarkStart w:id="68" w:name="_Toc18410"/>
      <w:bookmarkStart w:id="69" w:name="_Toc31476"/>
      <w:bookmarkStart w:id="70" w:name="_Toc31505"/>
      <w:r>
        <w:rPr>
          <w:rFonts w:hint="eastAsia" w:ascii="仿宋" w:hAnsi="仿宋" w:eastAsia="仿宋" w:cs="仿宋"/>
          <w:b/>
          <w:color w:val="auto"/>
          <w:highlight w:val="none"/>
        </w:rPr>
        <w:t>第</w:t>
      </w:r>
      <w:r>
        <w:rPr>
          <w:rFonts w:hint="eastAsia" w:ascii="仿宋" w:hAnsi="仿宋" w:eastAsia="仿宋" w:cs="仿宋"/>
          <w:b/>
          <w:color w:val="auto"/>
          <w:highlight w:val="none"/>
          <w:lang w:val="en-US" w:eastAsia="zh-CN"/>
        </w:rPr>
        <w:t>七</w:t>
      </w:r>
      <w:r>
        <w:rPr>
          <w:rFonts w:hint="eastAsia" w:ascii="仿宋" w:hAnsi="仿宋" w:eastAsia="仿宋" w:cs="仿宋"/>
          <w:b/>
          <w:color w:val="auto"/>
          <w:highlight w:val="none"/>
        </w:rPr>
        <w:t>条 售后服务</w:t>
      </w:r>
      <w:bookmarkEnd w:id="68"/>
      <w:bookmarkEnd w:id="69"/>
      <w:bookmarkEnd w:id="70"/>
      <w:r>
        <w:rPr>
          <w:rFonts w:hint="eastAsia" w:ascii="仿宋" w:hAnsi="仿宋" w:eastAsia="仿宋" w:cs="仿宋"/>
          <w:b/>
          <w:color w:val="auto"/>
          <w:highlight w:val="none"/>
          <w:lang w:val="en-US" w:eastAsia="zh-CN"/>
        </w:rPr>
        <w:t>及培训</w:t>
      </w:r>
    </w:p>
    <w:p w14:paraId="45217E55">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1.</w:t>
      </w:r>
      <w:r>
        <w:rPr>
          <w:rFonts w:hint="eastAsia" w:ascii="仿宋" w:hAnsi="仿宋" w:eastAsia="仿宋" w:cs="仿宋"/>
          <w:color w:val="auto"/>
          <w:kern w:val="0"/>
          <w:highlight w:val="none"/>
        </w:rPr>
        <w:t>乙方应按照国家有关法律法规以及招标文件要求和投标文件的</w:t>
      </w:r>
      <w:r>
        <w:rPr>
          <w:rFonts w:hint="eastAsia" w:ascii="仿宋" w:hAnsi="仿宋" w:eastAsia="仿宋" w:cs="仿宋"/>
          <w:color w:val="auto"/>
          <w:kern w:val="0"/>
          <w:highlight w:val="none"/>
          <w:lang w:val="en-US" w:eastAsia="zh-CN"/>
        </w:rPr>
        <w:t>售后方案</w:t>
      </w:r>
      <w:r>
        <w:rPr>
          <w:rFonts w:hint="eastAsia" w:ascii="仿宋" w:hAnsi="仿宋" w:eastAsia="仿宋" w:cs="仿宋"/>
          <w:color w:val="auto"/>
          <w:kern w:val="0"/>
          <w:highlight w:val="none"/>
        </w:rPr>
        <w:t>提供服务。</w:t>
      </w:r>
    </w:p>
    <w:p w14:paraId="39246399">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2.</w:t>
      </w:r>
      <w:r>
        <w:rPr>
          <w:rFonts w:hint="eastAsia" w:ascii="仿宋" w:hAnsi="仿宋" w:eastAsia="仿宋" w:cs="仿宋"/>
          <w:color w:val="auto"/>
          <w:kern w:val="0"/>
          <w:highlight w:val="none"/>
        </w:rPr>
        <w:t>乙方负责提供仪器设备相应的技术资料，包括产品合格证、产品保修单、安装使用及维护说明书以及运输装箱清单等,并对所有技术材料的真实性、准确性、先进性、完整性负责。</w:t>
      </w:r>
    </w:p>
    <w:p w14:paraId="3EAB740F">
      <w:pPr>
        <w:pStyle w:val="13"/>
        <w:spacing w:line="360" w:lineRule="auto"/>
        <w:ind w:firstLine="482" w:firstLineChars="200"/>
        <w:outlineLvl w:val="9"/>
        <w:rPr>
          <w:rFonts w:hint="eastAsia" w:ascii="仿宋" w:hAnsi="仿宋" w:eastAsia="仿宋" w:cs="仿宋"/>
          <w:b/>
          <w:color w:val="auto"/>
          <w:highlight w:val="none"/>
        </w:rPr>
      </w:pPr>
      <w:bookmarkStart w:id="71" w:name="_Toc28698"/>
      <w:bookmarkStart w:id="72" w:name="_Toc3919"/>
      <w:bookmarkStart w:id="73" w:name="_Toc3711"/>
      <w:r>
        <w:rPr>
          <w:rFonts w:hint="eastAsia" w:ascii="仿宋" w:hAnsi="仿宋" w:eastAsia="仿宋" w:cs="仿宋"/>
          <w:b/>
          <w:color w:val="auto"/>
          <w:highlight w:val="none"/>
        </w:rPr>
        <w:t>第</w:t>
      </w:r>
      <w:r>
        <w:rPr>
          <w:rFonts w:hint="eastAsia" w:ascii="仿宋" w:hAnsi="仿宋" w:eastAsia="仿宋" w:cs="仿宋"/>
          <w:b/>
          <w:color w:val="auto"/>
          <w:highlight w:val="none"/>
          <w:lang w:val="en-US" w:eastAsia="zh-CN"/>
        </w:rPr>
        <w:t>八</w:t>
      </w:r>
      <w:r>
        <w:rPr>
          <w:rFonts w:hint="eastAsia" w:ascii="仿宋" w:hAnsi="仿宋" w:eastAsia="仿宋" w:cs="仿宋"/>
          <w:b/>
          <w:color w:val="auto"/>
          <w:highlight w:val="none"/>
        </w:rPr>
        <w:t xml:space="preserve">条 </w:t>
      </w:r>
      <w:bookmarkEnd w:id="71"/>
      <w:bookmarkEnd w:id="72"/>
      <w:bookmarkEnd w:id="73"/>
      <w:r>
        <w:rPr>
          <w:rFonts w:hint="eastAsia" w:ascii="仿宋" w:hAnsi="仿宋" w:eastAsia="仿宋" w:cs="仿宋"/>
          <w:b/>
          <w:color w:val="auto"/>
          <w:highlight w:val="none"/>
        </w:rPr>
        <w:t>违约责任与解决争议的方法</w:t>
      </w:r>
    </w:p>
    <w:p w14:paraId="17105511">
      <w:pPr>
        <w:pStyle w:val="15"/>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SA"/>
        </w:rPr>
      </w:pPr>
      <w:bookmarkStart w:id="74" w:name="_Toc27557"/>
      <w:bookmarkStart w:id="75" w:name="_Toc13805"/>
      <w:bookmarkStart w:id="76" w:name="_Toc17126"/>
      <w:r>
        <w:rPr>
          <w:rFonts w:hint="eastAsia" w:ascii="仿宋" w:hAnsi="仿宋" w:eastAsia="仿宋" w:cs="仿宋"/>
          <w:color w:val="auto"/>
          <w:kern w:val="0"/>
          <w:sz w:val="24"/>
          <w:szCs w:val="24"/>
          <w:highlight w:val="none"/>
          <w:lang w:val="en-US" w:eastAsia="zh-CN" w:bidi="ar-SA"/>
        </w:rPr>
        <w:t xml:space="preserve">1.中标人未按合同要求提供服务或服务质量不能满足技术要求，且在规定时间内未使采购人满意的，采购人有权终止合同并对其违约行为进行追究。具体按《中华人民共和国民法典》中的相关条款执行。 </w:t>
      </w:r>
    </w:p>
    <w:p w14:paraId="132CAEFF">
      <w:pPr>
        <w:pStyle w:val="15"/>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 xml:space="preserve">2.任何一方若违反本合同其他约定，致使本合同无法履行，违约方应向守约方赔偿实际损失。 </w:t>
      </w:r>
    </w:p>
    <w:p w14:paraId="51AA8BDA">
      <w:pPr>
        <w:pStyle w:val="15"/>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 xml:space="preserve">3.如因中标人工作人员在履行职务过程中的疏忽、失职、过错等故意或者过失原因给甲方造成损失或侵害，包括但不限于对采购人造成财产损失、由此而导致的采购人对任何第三方的法律责任等，中标人对此均应承担全部的赔偿责任并负责妥善处理。 </w:t>
      </w:r>
    </w:p>
    <w:p w14:paraId="22489925">
      <w:pPr>
        <w:pStyle w:val="15"/>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 xml:space="preserve">4.本合同约定的损失，包括但不限于直接或间接的经济损失、律师费、诉讼费、保全费、鉴定费等损失。 </w:t>
      </w:r>
    </w:p>
    <w:p w14:paraId="30002FA6">
      <w:pPr>
        <w:pStyle w:val="15"/>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 xml:space="preserve">5.本合同约定的违约情形独立存在，可叠加适用。中标人按照合同约定应当向甲方支付的违约金，中标人同意采购人从应付未付款中直接予以扣除。 </w:t>
      </w:r>
    </w:p>
    <w:p w14:paraId="5957BB28">
      <w:pPr>
        <w:pStyle w:val="15"/>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6.因执行本合同所发生的或与本合同有关的一切争议,双方应通过友好协商解决。如果协商开始后六十（60）天还不能解决，双方可依以下一种方式解决： （1）双方达成仲裁协议，向约定的仲裁委员会申请仲裁。（2）向有管辖权的人民法院起诉。</w:t>
      </w:r>
    </w:p>
    <w:p w14:paraId="0015563C">
      <w:pPr>
        <w:widowControl/>
        <w:spacing w:line="360" w:lineRule="auto"/>
        <w:jc w:val="left"/>
        <w:outlineLvl w:val="1"/>
        <w:rPr>
          <w:rFonts w:hint="eastAsia" w:ascii="仿宋" w:hAnsi="仿宋" w:eastAsia="仿宋" w:cs="仿宋"/>
          <w:color w:val="auto"/>
          <w:kern w:val="0"/>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合同的变更和终止</w:t>
      </w:r>
      <w:bookmarkEnd w:id="74"/>
      <w:bookmarkEnd w:id="75"/>
      <w:bookmarkEnd w:id="76"/>
    </w:p>
    <w:p w14:paraId="164ADDE7">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除《中华人民共和国政府采购法》第49条、第50条第二款规定的情形外，本合同一经签订，甲乙双方不得擅自变更、中止或终止合同。</w:t>
      </w:r>
    </w:p>
    <w:p w14:paraId="061C9981">
      <w:pPr>
        <w:snapToGrid w:val="0"/>
        <w:spacing w:line="360" w:lineRule="auto"/>
        <w:textAlignment w:val="baseline"/>
        <w:outlineLvl w:val="1"/>
        <w:rPr>
          <w:rFonts w:hint="eastAsia" w:ascii="仿宋" w:hAnsi="仿宋" w:eastAsia="仿宋" w:cs="仿宋"/>
          <w:b/>
          <w:color w:val="auto"/>
          <w:sz w:val="24"/>
          <w:szCs w:val="24"/>
          <w:highlight w:val="none"/>
        </w:rPr>
      </w:pPr>
      <w:bookmarkStart w:id="77" w:name="_Toc26051"/>
      <w:bookmarkStart w:id="78" w:name="_Toc6911"/>
      <w:bookmarkStart w:id="79" w:name="_Toc24039"/>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条</w:t>
      </w:r>
      <w:r>
        <w:rPr>
          <w:rFonts w:hint="eastAsia" w:ascii="仿宋" w:hAnsi="仿宋" w:eastAsia="仿宋" w:cs="仿宋"/>
          <w:color w:val="auto"/>
          <w:sz w:val="24"/>
          <w:szCs w:val="24"/>
          <w:highlight w:val="none"/>
        </w:rPr>
        <w:t xml:space="preserve"> </w:t>
      </w:r>
      <w:r>
        <w:rPr>
          <w:rFonts w:hint="eastAsia" w:ascii="仿宋" w:hAnsi="仿宋" w:eastAsia="仿宋" w:cs="仿宋"/>
          <w:b/>
          <w:color w:val="auto"/>
          <w:sz w:val="24"/>
          <w:szCs w:val="24"/>
          <w:highlight w:val="none"/>
        </w:rPr>
        <w:t>合同文件</w:t>
      </w:r>
      <w:bookmarkEnd w:id="77"/>
      <w:bookmarkEnd w:id="78"/>
      <w:bookmarkEnd w:id="79"/>
    </w:p>
    <w:p w14:paraId="1D804447">
      <w:pPr>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7E697D53">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25C37988">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2.中标通知书</w:t>
      </w:r>
      <w:r>
        <w:rPr>
          <w:rFonts w:hint="eastAsia" w:ascii="仿宋" w:hAnsi="仿宋" w:eastAsia="仿宋" w:cs="仿宋"/>
          <w:color w:val="auto"/>
          <w:sz w:val="24"/>
          <w:szCs w:val="24"/>
          <w:highlight w:val="none"/>
        </w:rPr>
        <w:tab/>
      </w:r>
    </w:p>
    <w:p w14:paraId="5DF6D8FA">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3.协议</w:t>
      </w:r>
    </w:p>
    <w:p w14:paraId="32B2982B">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4.招标文件(含澄清或者修改文件)</w:t>
      </w:r>
    </w:p>
    <w:p w14:paraId="678BF126">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5.投标文件</w:t>
      </w:r>
    </w:p>
    <w:p w14:paraId="14A7EFEC">
      <w:pPr>
        <w:snapToGrid w:val="0"/>
        <w:spacing w:line="360" w:lineRule="auto"/>
        <w:outlineLvl w:val="1"/>
        <w:rPr>
          <w:rFonts w:hint="eastAsia" w:ascii="仿宋" w:hAnsi="仿宋" w:eastAsia="仿宋" w:cs="仿宋"/>
          <w:b/>
          <w:color w:val="auto"/>
          <w:kern w:val="0"/>
          <w:sz w:val="24"/>
          <w:szCs w:val="24"/>
          <w:highlight w:val="none"/>
        </w:rPr>
      </w:pPr>
      <w:bookmarkStart w:id="80" w:name="_Toc1382"/>
      <w:bookmarkStart w:id="81" w:name="_Toc13842"/>
      <w:bookmarkStart w:id="82" w:name="_Toc32342"/>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一</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合同生效及其他</w:t>
      </w:r>
      <w:bookmarkEnd w:id="80"/>
      <w:bookmarkEnd w:id="81"/>
      <w:bookmarkEnd w:id="82"/>
    </w:p>
    <w:p w14:paraId="38A763C0">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sz w:val="24"/>
          <w:szCs w:val="24"/>
          <w:highlight w:val="none"/>
        </w:rPr>
        <w:t>如有未尽事宜，由双方依法订立补充合同，补充合同与本合同效力一致。</w:t>
      </w:r>
    </w:p>
    <w:p w14:paraId="4DCDC727">
      <w:pPr>
        <w:snapToGrid w:val="0"/>
        <w:spacing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2.本合同自双方签字、盖章之日起生效。</w:t>
      </w:r>
    </w:p>
    <w:p w14:paraId="2382555E">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3.本合同一式</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份，具有同等法律效力，甲乙双方各执</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份。</w:t>
      </w:r>
    </w:p>
    <w:p w14:paraId="48B42099">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4.合同附件：技术协议、招标文件、投标文件、中标通知书</w:t>
      </w:r>
    </w:p>
    <w:p w14:paraId="4906A1D2">
      <w:pPr>
        <w:spacing w:line="360" w:lineRule="auto"/>
        <w:ind w:firstLine="480" w:firstLineChars="200"/>
        <w:rPr>
          <w:rFonts w:hint="eastAsia" w:ascii="仿宋" w:hAnsi="仿宋" w:eastAsia="仿宋" w:cs="仿宋"/>
          <w:color w:val="auto"/>
          <w:sz w:val="24"/>
          <w:szCs w:val="24"/>
          <w:highlight w:val="none"/>
        </w:rPr>
      </w:pPr>
    </w:p>
    <w:p w14:paraId="11F4DA8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   （盖章）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乙方：   （盖章）</w:t>
      </w:r>
    </w:p>
    <w:p w14:paraId="5964218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14:paraId="042CA00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14:paraId="2C3CC94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707114C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                         账    号：</w:t>
      </w:r>
    </w:p>
    <w:p w14:paraId="7C3978C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14:paraId="6D76C60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14:paraId="43C5102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签约日期：    年  月  日           签约日期：    年  月  日</w:t>
      </w:r>
    </w:p>
    <w:p w14:paraId="2DE32A7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BD1A7DB1-4B5F-4559-8447-62BFC92000B0}"/>
  </w:font>
  <w:font w:name="Cambria">
    <w:panose1 w:val="02040503050406030204"/>
    <w:charset w:val="00"/>
    <w:family w:val="roman"/>
    <w:pitch w:val="default"/>
    <w:sig w:usb0="E00006FF" w:usb1="420024FF" w:usb2="02000000" w:usb3="00000000" w:csb0="2000019F" w:csb1="00000000"/>
  </w:font>
  <w:font w:name="方正小标宋简体">
    <w:panose1 w:val="02010600010101010101"/>
    <w:charset w:val="86"/>
    <w:family w:val="auto"/>
    <w:pitch w:val="default"/>
    <w:sig w:usb0="00000001" w:usb1="080E0000" w:usb2="00000000" w:usb3="00000000" w:csb0="00040000" w:csb1="00000000"/>
    <w:embedRegular r:id="rId2" w:fontKey="{CEE3A560-02B2-44DD-A7FD-AE299CE4B939}"/>
  </w:font>
  <w:font w:name="仿宋">
    <w:panose1 w:val="02010609060101010101"/>
    <w:charset w:val="86"/>
    <w:family w:val="modern"/>
    <w:pitch w:val="default"/>
    <w:sig w:usb0="800002BF" w:usb1="38CF7CFA" w:usb2="00000016" w:usb3="00000000" w:csb0="00040001" w:csb1="00000000"/>
    <w:embedRegular r:id="rId3" w:fontKey="{1E5287E3-AEBB-4020-AE21-EE89666F4F9E}"/>
  </w:font>
  <w:font w:name="仿宋_GB2312">
    <w:altName w:val="仿宋"/>
    <w:panose1 w:val="00000000000000000000"/>
    <w:charset w:val="00"/>
    <w:family w:val="auto"/>
    <w:pitch w:val="default"/>
    <w:sig w:usb0="00000000" w:usb1="00000000" w:usb2="00000000" w:usb3="00000000" w:csb0="00000000" w:csb1="00000000"/>
    <w:embedRegular r:id="rId4" w:fontKey="{8D30A821-34A7-4AE6-91D2-F0C68DE68D1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s>
  <w:rsids>
    <w:rsidRoot w:val="38E42B80"/>
    <w:rsid w:val="020E02AA"/>
    <w:rsid w:val="03DF3BE5"/>
    <w:rsid w:val="06824DC3"/>
    <w:rsid w:val="07E51AAD"/>
    <w:rsid w:val="0B1A04DC"/>
    <w:rsid w:val="0C0544CC"/>
    <w:rsid w:val="0FE47B20"/>
    <w:rsid w:val="123F625E"/>
    <w:rsid w:val="16EB2510"/>
    <w:rsid w:val="17E72CD8"/>
    <w:rsid w:val="180B4E43"/>
    <w:rsid w:val="1867206B"/>
    <w:rsid w:val="18FE2B4F"/>
    <w:rsid w:val="1D3C5874"/>
    <w:rsid w:val="1D3C6D55"/>
    <w:rsid w:val="21B302F6"/>
    <w:rsid w:val="263C4B36"/>
    <w:rsid w:val="264913D7"/>
    <w:rsid w:val="2A7C59B7"/>
    <w:rsid w:val="2F95544C"/>
    <w:rsid w:val="31570A76"/>
    <w:rsid w:val="321150C9"/>
    <w:rsid w:val="328422AA"/>
    <w:rsid w:val="33613CE8"/>
    <w:rsid w:val="33E4755F"/>
    <w:rsid w:val="354F3848"/>
    <w:rsid w:val="38E42B80"/>
    <w:rsid w:val="390D7DB6"/>
    <w:rsid w:val="39186D3D"/>
    <w:rsid w:val="397078B6"/>
    <w:rsid w:val="3D0A09CF"/>
    <w:rsid w:val="3EB2121E"/>
    <w:rsid w:val="45A04342"/>
    <w:rsid w:val="4BB548C0"/>
    <w:rsid w:val="4E4361B3"/>
    <w:rsid w:val="4EDE7C89"/>
    <w:rsid w:val="4FB97F09"/>
    <w:rsid w:val="54280325"/>
    <w:rsid w:val="549F610D"/>
    <w:rsid w:val="56881917"/>
    <w:rsid w:val="56B31FEC"/>
    <w:rsid w:val="59F42A57"/>
    <w:rsid w:val="5CE31541"/>
    <w:rsid w:val="61984CBF"/>
    <w:rsid w:val="643B2AF7"/>
    <w:rsid w:val="672D34DB"/>
    <w:rsid w:val="6BEE7E41"/>
    <w:rsid w:val="6BF95CAB"/>
    <w:rsid w:val="6D8433DC"/>
    <w:rsid w:val="6E184C75"/>
    <w:rsid w:val="6ED547AD"/>
    <w:rsid w:val="70180DF5"/>
    <w:rsid w:val="70427DDE"/>
    <w:rsid w:val="70695446"/>
    <w:rsid w:val="73920EBF"/>
    <w:rsid w:val="73D828EE"/>
    <w:rsid w:val="751122B7"/>
    <w:rsid w:val="759A04FF"/>
    <w:rsid w:val="7A6723E9"/>
    <w:rsid w:val="7A6C1FF8"/>
    <w:rsid w:val="7ED32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黑体"/>
      <w:kern w:val="2"/>
      <w:sz w:val="21"/>
      <w:szCs w:val="24"/>
      <w:lang w:val="en-US" w:eastAsia="zh-CN" w:bidi="ar-SA"/>
    </w:rPr>
  </w:style>
  <w:style w:type="paragraph" w:styleId="5">
    <w:name w:val="heading 1"/>
    <w:basedOn w:val="1"/>
    <w:next w:val="1"/>
    <w:autoRedefine/>
    <w:qFormat/>
    <w:uiPriority w:val="0"/>
    <w:pPr>
      <w:jc w:val="center"/>
      <w:outlineLvl w:val="0"/>
    </w:pPr>
    <w:rPr>
      <w:rFonts w:ascii="宋体" w:hAnsi="宋体"/>
      <w:b/>
      <w:sz w:val="36"/>
    </w:rPr>
  </w:style>
  <w:style w:type="paragraph" w:styleId="6">
    <w:name w:val="heading 2"/>
    <w:basedOn w:val="1"/>
    <w:next w:val="1"/>
    <w:autoRedefine/>
    <w:qFormat/>
    <w:uiPriority w:val="0"/>
    <w:pPr>
      <w:spacing w:line="360" w:lineRule="auto"/>
      <w:jc w:val="center"/>
      <w:outlineLvl w:val="1"/>
    </w:pPr>
    <w:rPr>
      <w:rFonts w:ascii="Arial" w:hAnsi="Arial" w:eastAsia="黑体"/>
      <w:b/>
      <w:bCs/>
      <w:kern w:val="0"/>
      <w:sz w:val="32"/>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firstLineChars="200"/>
    </w:pPr>
    <w:rPr>
      <w:sz w:val="21"/>
    </w:rPr>
  </w:style>
  <w:style w:type="paragraph" w:styleId="3">
    <w:name w:val="Body Text Indent"/>
    <w:basedOn w:val="1"/>
    <w:next w:val="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7">
    <w:name w:val="Normal Indent"/>
    <w:basedOn w:val="1"/>
    <w:next w:val="1"/>
    <w:autoRedefine/>
    <w:qFormat/>
    <w:uiPriority w:val="0"/>
    <w:pPr>
      <w:adjustRightInd w:val="0"/>
      <w:spacing w:line="312" w:lineRule="atLeast"/>
      <w:ind w:firstLine="420"/>
      <w:textAlignment w:val="baseline"/>
    </w:pPr>
    <w:rPr>
      <w:rFonts w:ascii="宋体"/>
      <w:kern w:val="0"/>
    </w:rPr>
  </w:style>
  <w:style w:type="paragraph" w:styleId="8">
    <w:name w:val="Body Text"/>
    <w:basedOn w:val="1"/>
    <w:next w:val="1"/>
    <w:autoRedefine/>
    <w:qFormat/>
    <w:uiPriority w:val="0"/>
    <w:pPr>
      <w:spacing w:after="120"/>
    </w:pPr>
    <w:rPr>
      <w:rFonts w:ascii="Times New Roman" w:hAnsi="Times New Roman"/>
    </w:rPr>
  </w:style>
  <w:style w:type="paragraph" w:styleId="9">
    <w:name w:val="footer"/>
    <w:basedOn w:val="1"/>
    <w:autoRedefine/>
    <w:qFormat/>
    <w:uiPriority w:val="0"/>
    <w:pPr>
      <w:tabs>
        <w:tab w:val="center" w:pos="4140"/>
        <w:tab w:val="right" w:pos="8300"/>
      </w:tabs>
      <w:snapToGrid w:val="0"/>
      <w:jc w:val="left"/>
    </w:pPr>
    <w:rPr>
      <w:rFonts w:ascii="Times New Roman" w:hAnsi="Times New Roman" w:cs="Times New Roman"/>
      <w:sz w:val="18"/>
    </w:rPr>
  </w:style>
  <w:style w:type="paragraph" w:styleId="10">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customStyle="1" w:styleId="13">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4">
    <w:name w:val="标题 41"/>
    <w:basedOn w:val="1"/>
    <w:autoRedefine/>
    <w:qFormat/>
    <w:uiPriority w:val="1"/>
    <w:pPr>
      <w:ind w:left="1745"/>
      <w:jc w:val="left"/>
      <w:outlineLvl w:val="4"/>
    </w:pPr>
    <w:rPr>
      <w:rFonts w:ascii="宋体" w:hAnsi="宋体"/>
      <w:kern w:val="0"/>
      <w:sz w:val="26"/>
      <w:szCs w:val="26"/>
      <w:lang w:eastAsia="en-US"/>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3017</Words>
  <Characters>3064</Characters>
  <Lines>0</Lines>
  <Paragraphs>0</Paragraphs>
  <TotalTime>0</TotalTime>
  <ScaleCrop>false</ScaleCrop>
  <LinksUpToDate>false</LinksUpToDate>
  <CharactersWithSpaces>3479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芫花花花花</cp:lastModifiedBy>
  <dcterms:modified xsi:type="dcterms:W3CDTF">2025-06-26T05:36:02Z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1CCEC583AA234E7190960739386B8EF1_11</vt:lpwstr>
  </property>
  <property fmtid="{D5CDD505-2E9C-101B-9397-08002B2CF9AE}" pid="4" name="KSOTemplateDocerSaveRecord">
    <vt:lpwstr>eyJoZGlkIjoiNzRkODU0NWM1NTRlNTZjMDFhNjAyNDM3ZDE1ZjE0YTMiLCJ1c2VySWQiOiIzMTQzODkxMTYifQ==</vt:lpwstr>
  </property>
</Properties>
</file>