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49E0BE">
      <w:pPr>
        <w:adjustRightInd w:val="0"/>
        <w:snapToGrid w:val="0"/>
        <w:spacing w:line="360" w:lineRule="auto"/>
        <w:ind w:firstLine="643" w:firstLineChars="200"/>
        <w:jc w:val="center"/>
        <w:rPr>
          <w:rFonts w:hint="eastAsia" w:hAnsi="宋体"/>
          <w:highlight w:val="none"/>
        </w:rPr>
      </w:pPr>
      <w:r>
        <w:rPr>
          <w:rFonts w:hint="eastAsia" w:ascii="黑体" w:hAnsi="黑体" w:eastAsia="黑体" w:cs="黑体"/>
          <w:b/>
          <w:bCs/>
          <w:color w:val="auto"/>
          <w:kern w:val="2"/>
          <w:sz w:val="32"/>
          <w:szCs w:val="32"/>
          <w:highlight w:val="none"/>
          <w:lang w:val="zh-CN" w:eastAsia="zh-CN" w:bidi="ar-SA"/>
        </w:rPr>
        <w:t>拟签订的合同条款文本</w:t>
      </w:r>
    </w:p>
    <w:p w14:paraId="77E86238">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bookmarkStart w:id="0" w:name="_Hlk107229277"/>
      <w:r>
        <w:rPr>
          <w:rFonts w:hint="eastAsia" w:ascii="仿宋_GB2312" w:hAnsi="仿宋_GB2312" w:eastAsia="仿宋_GB2312" w:cs="仿宋_GB2312"/>
          <w:bCs/>
          <w:sz w:val="28"/>
          <w:szCs w:val="28"/>
        </w:rPr>
        <w:t xml:space="preserve">甲方（采购人）： </w:t>
      </w:r>
    </w:p>
    <w:p w14:paraId="44617842">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xml:space="preserve">乙方（成交供应商）： </w:t>
      </w:r>
    </w:p>
    <w:p w14:paraId="62E1CE33">
      <w:pPr>
        <w:autoSpaceDE w:val="0"/>
        <w:autoSpaceDN w:val="0"/>
        <w:adjustRightInd w:val="0"/>
        <w:snapToGrid w:val="0"/>
        <w:spacing w:line="360" w:lineRule="auto"/>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u w:val="single"/>
          <w:lang w:eastAsia="zh-CN"/>
        </w:rPr>
        <w:t>西安市本级排水管网管周空洞检测服务项目</w:t>
      </w:r>
      <w:r>
        <w:rPr>
          <w:rFonts w:hint="eastAsia" w:ascii="仿宋_GB2312" w:hAnsi="仿宋_GB2312" w:eastAsia="仿宋_GB2312" w:cs="仿宋_GB2312"/>
          <w:bCs/>
          <w:sz w:val="28"/>
          <w:szCs w:val="28"/>
          <w:u w:val="single"/>
        </w:rPr>
        <w:t>(项目编号：</w:t>
      </w:r>
      <w:r>
        <w:rPr>
          <w:rFonts w:hint="eastAsia" w:ascii="仿宋_GB2312" w:hAnsi="仿宋_GB2312" w:eastAsia="仿宋_GB2312" w:cs="仿宋_GB2312"/>
          <w:bCs/>
          <w:sz w:val="28"/>
          <w:szCs w:val="28"/>
          <w:u w:val="single"/>
          <w:lang w:eastAsia="zh-CN"/>
        </w:rPr>
        <w:t>GRC-25-01003</w:t>
      </w:r>
      <w:r>
        <w:rPr>
          <w:rFonts w:hint="eastAsia" w:ascii="仿宋_GB2312" w:hAnsi="仿宋_GB2312" w:eastAsia="仿宋_GB2312" w:cs="仿宋_GB2312"/>
          <w:bCs/>
          <w:sz w:val="28"/>
          <w:szCs w:val="28"/>
          <w:u w:val="single"/>
        </w:rPr>
        <w:t>)</w:t>
      </w:r>
      <w:r>
        <w:rPr>
          <w:rFonts w:hint="eastAsia" w:ascii="仿宋_GB2312" w:hAnsi="仿宋_GB2312" w:eastAsia="仿宋_GB2312" w:cs="仿宋_GB2312"/>
          <w:bCs/>
          <w:sz w:val="28"/>
          <w:szCs w:val="28"/>
        </w:rPr>
        <w:t>，由</w:t>
      </w:r>
      <w:r>
        <w:rPr>
          <w:rFonts w:hint="eastAsia" w:ascii="仿宋_GB2312" w:hAnsi="仿宋_GB2312" w:eastAsia="仿宋_GB2312" w:cs="仿宋_GB2312"/>
          <w:bCs/>
          <w:sz w:val="28"/>
          <w:szCs w:val="28"/>
          <w:lang w:eastAsia="zh-CN"/>
        </w:rPr>
        <w:t>陕西国瑞诚项目管理有限公司</w:t>
      </w:r>
      <w:r>
        <w:rPr>
          <w:rFonts w:hint="eastAsia" w:ascii="仿宋_GB2312" w:hAnsi="仿宋_GB2312" w:eastAsia="仿宋_GB2312" w:cs="仿宋_GB2312"/>
          <w:bCs/>
          <w:sz w:val="28"/>
          <w:szCs w:val="28"/>
        </w:rPr>
        <w:t>组织竞争性磋商，</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(以下简称“甲方”)确定</w:t>
      </w:r>
      <w:r>
        <w:rPr>
          <w:rFonts w:hint="eastAsia" w:ascii="仿宋_GB2312" w:hAnsi="仿宋_GB2312" w:eastAsia="仿宋_GB2312" w:cs="仿宋_GB2312"/>
          <w:bCs/>
          <w:sz w:val="28"/>
          <w:szCs w:val="28"/>
          <w:u w:val="single"/>
        </w:rPr>
        <w:t xml:space="preserve">          </w:t>
      </w:r>
      <w:r>
        <w:rPr>
          <w:rFonts w:hint="eastAsia" w:ascii="仿宋_GB2312" w:hAnsi="仿宋_GB2312" w:eastAsia="仿宋_GB2312" w:cs="仿宋_GB2312"/>
          <w:bCs/>
          <w:sz w:val="28"/>
          <w:szCs w:val="28"/>
        </w:rPr>
        <w:t>（以下简称“乙方”）为该项目的成交供应商。</w:t>
      </w:r>
    </w:p>
    <w:p w14:paraId="57BB6AB9">
      <w:pPr>
        <w:keepNext w:val="0"/>
        <w:keepLines w:val="0"/>
        <w:pageBreakBefore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依据《中华人民共和国</w:t>
      </w:r>
      <w:r>
        <w:rPr>
          <w:rFonts w:hint="eastAsia" w:ascii="仿宋_GB2312" w:hAnsi="仿宋_GB2312" w:eastAsia="仿宋_GB2312" w:cs="仿宋_GB2312"/>
          <w:bCs/>
          <w:sz w:val="28"/>
          <w:szCs w:val="28"/>
          <w:lang w:val="en-US" w:eastAsia="zh-CN"/>
        </w:rPr>
        <w:t>民法典</w:t>
      </w:r>
      <w:r>
        <w:rPr>
          <w:rFonts w:hint="eastAsia" w:ascii="仿宋_GB2312" w:hAnsi="仿宋_GB2312" w:eastAsia="仿宋_GB2312" w:cs="仿宋_GB2312"/>
          <w:bCs/>
          <w:sz w:val="28"/>
          <w:szCs w:val="28"/>
        </w:rPr>
        <w:t>》和《中华人民共和国政府采购法》之规定，经双方在平等、自愿、互利的基础上，签订本合同，共同信守。</w:t>
      </w:r>
    </w:p>
    <w:p w14:paraId="66B74731">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rPr>
        <w:t>一、合同价款</w:t>
      </w:r>
    </w:p>
    <w:p w14:paraId="3FA945CC">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eastAsia="zh-CN"/>
        </w:rPr>
      </w:pPr>
      <w:r>
        <w:rPr>
          <w:rFonts w:hint="eastAsia" w:ascii="仿宋_GB2312" w:hAnsi="仿宋_GB2312" w:eastAsia="仿宋_GB2312" w:cs="仿宋_GB2312"/>
          <w:sz w:val="28"/>
          <w:szCs w:val="28"/>
          <w:highlight w:val="none"/>
        </w:rPr>
        <w:t>（一）</w:t>
      </w:r>
      <w:r>
        <w:rPr>
          <w:rFonts w:hint="eastAsia" w:ascii="仿宋_GB2312" w:hAnsi="仿宋_GB2312" w:eastAsia="仿宋_GB2312" w:cs="仿宋_GB2312"/>
          <w:b w:val="0"/>
          <w:bCs w:val="0"/>
          <w:sz w:val="28"/>
          <w:szCs w:val="28"/>
          <w:highlight w:val="none"/>
        </w:rPr>
        <w:t>合同</w:t>
      </w:r>
      <w:r>
        <w:rPr>
          <w:rFonts w:hint="eastAsia" w:ascii="仿宋_GB2312" w:hAnsi="仿宋_GB2312" w:eastAsia="仿宋_GB2312" w:cs="仿宋_GB2312"/>
          <w:b w:val="0"/>
          <w:bCs w:val="0"/>
          <w:sz w:val="28"/>
          <w:szCs w:val="28"/>
          <w:highlight w:val="none"/>
          <w:lang w:val="en-US" w:eastAsia="zh-CN"/>
        </w:rPr>
        <w:t>类型为固定总价合同</w:t>
      </w:r>
      <w:r>
        <w:rPr>
          <w:rFonts w:hint="eastAsia" w:ascii="仿宋_GB2312" w:hAnsi="仿宋_GB2312" w:eastAsia="仿宋_GB2312" w:cs="仿宋_GB2312"/>
          <w:b w:val="0"/>
          <w:bCs w:val="0"/>
          <w:sz w:val="28"/>
          <w:szCs w:val="28"/>
          <w:highlight w:val="none"/>
        </w:rPr>
        <w:t>，</w:t>
      </w:r>
      <w:r>
        <w:rPr>
          <w:rFonts w:hint="eastAsia" w:ascii="仿宋_GB2312" w:hAnsi="仿宋_GB2312" w:eastAsia="仿宋_GB2312" w:cs="仿宋_GB2312"/>
          <w:sz w:val="28"/>
          <w:szCs w:val="28"/>
          <w:highlight w:val="none"/>
        </w:rPr>
        <w:t>合同总价款为人民币（大写）</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w:t>
      </w:r>
      <w:r>
        <w:rPr>
          <w:rFonts w:hint="eastAsia" w:ascii="微软雅黑" w:hAnsi="微软雅黑" w:eastAsia="微软雅黑" w:cs="微软雅黑"/>
          <w:sz w:val="28"/>
          <w:szCs w:val="28"/>
          <w:highlight w:val="none"/>
          <w:lang w:val="en-US" w:eastAsia="zh-CN"/>
        </w:rPr>
        <w:t>￥</w:t>
      </w:r>
      <w:r>
        <w:rPr>
          <w:rFonts w:hint="eastAsia" w:ascii="仿宋_GB2312" w:hAnsi="仿宋_GB2312" w:eastAsia="仿宋_GB2312" w:cs="仿宋_GB2312"/>
          <w:sz w:val="28"/>
          <w:szCs w:val="28"/>
          <w:highlight w:val="none"/>
          <w:u w:val="single"/>
        </w:rPr>
        <w:t xml:space="preserve">      </w:t>
      </w:r>
      <w:r>
        <w:rPr>
          <w:rFonts w:hint="eastAsia" w:ascii="仿宋_GB2312" w:hAnsi="仿宋_GB2312" w:eastAsia="仿宋_GB2312" w:cs="仿宋_GB2312"/>
          <w:sz w:val="28"/>
          <w:szCs w:val="28"/>
          <w:highlight w:val="none"/>
        </w:rPr>
        <w:t>）</w:t>
      </w:r>
      <w:r>
        <w:rPr>
          <w:rFonts w:hint="eastAsia" w:ascii="仿宋_GB2312" w:hAnsi="仿宋_GB2312" w:eastAsia="仿宋_GB2312" w:cs="仿宋_GB2312"/>
          <w:sz w:val="28"/>
          <w:szCs w:val="28"/>
          <w:highlight w:val="none"/>
          <w:lang w:eastAsia="zh-CN"/>
        </w:rPr>
        <w:t>；</w:t>
      </w:r>
    </w:p>
    <w:p w14:paraId="13DE494D">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 w:val="0"/>
          <w:bCs w:val="0"/>
          <w:sz w:val="28"/>
          <w:szCs w:val="28"/>
          <w:highlight w:val="none"/>
        </w:rPr>
      </w:pPr>
      <w:r>
        <w:rPr>
          <w:rFonts w:hint="eastAsia" w:ascii="仿宋_GB2312" w:hAnsi="仿宋_GB2312" w:eastAsia="仿宋_GB2312" w:cs="仿宋_GB2312"/>
          <w:b w:val="0"/>
          <w:bCs w:val="0"/>
          <w:sz w:val="28"/>
          <w:szCs w:val="28"/>
          <w:highlight w:val="none"/>
          <w:lang w:val="en-US" w:eastAsia="zh-CN"/>
        </w:rPr>
        <w:t>(二)</w:t>
      </w:r>
      <w:r>
        <w:rPr>
          <w:rFonts w:hint="eastAsia" w:ascii="仿宋_GB2312" w:hAnsi="仿宋_GB2312" w:eastAsia="仿宋_GB2312" w:cs="仿宋_GB2312"/>
          <w:b w:val="0"/>
          <w:bCs w:val="0"/>
          <w:sz w:val="28"/>
          <w:szCs w:val="28"/>
          <w:highlight w:val="none"/>
        </w:rPr>
        <w:t>合同综合结算:</w:t>
      </w:r>
    </w:p>
    <w:tbl>
      <w:tblPr>
        <w:tblStyle w:val="15"/>
        <w:tblW w:w="87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5"/>
        <w:gridCol w:w="4636"/>
        <w:gridCol w:w="795"/>
        <w:gridCol w:w="1334"/>
      </w:tblGrid>
      <w:tr w14:paraId="67005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65" w:type="dxa"/>
            <w:noWrap w:val="0"/>
            <w:vAlign w:val="center"/>
          </w:tcPr>
          <w:p w14:paraId="4EE6D4F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8"/>
                <w:szCs w:val="28"/>
                <w:highlight w:val="none"/>
                <w:vertAlign w:val="baseline"/>
                <w:lang w:val="en-US" w:eastAsia="zh-CN"/>
              </w:rPr>
            </w:pPr>
            <w:r>
              <w:rPr>
                <w:rFonts w:hint="eastAsia" w:ascii="仿宋_GB2312" w:hAnsi="仿宋_GB2312" w:eastAsia="仿宋_GB2312" w:cs="仿宋_GB2312"/>
                <w:b w:val="0"/>
                <w:bCs w:val="0"/>
                <w:sz w:val="28"/>
                <w:szCs w:val="28"/>
                <w:highlight w:val="none"/>
                <w:vertAlign w:val="baseline"/>
                <w:lang w:val="en-US" w:eastAsia="zh-CN"/>
              </w:rPr>
              <w:t>项目名称</w:t>
            </w:r>
          </w:p>
        </w:tc>
        <w:tc>
          <w:tcPr>
            <w:tcW w:w="4636" w:type="dxa"/>
            <w:noWrap w:val="0"/>
            <w:vAlign w:val="center"/>
          </w:tcPr>
          <w:p w14:paraId="3A9B2FF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b w:val="0"/>
                <w:bCs w:val="0"/>
                <w:sz w:val="28"/>
                <w:szCs w:val="28"/>
                <w:highlight w:val="none"/>
                <w:vertAlign w:val="baseline"/>
                <w:lang w:val="en-US" w:eastAsia="zh-CN"/>
              </w:rPr>
            </w:pPr>
            <w:r>
              <w:rPr>
                <w:rFonts w:hint="eastAsia" w:ascii="仿宋_GB2312" w:hAnsi="仿宋_GB2312" w:eastAsia="仿宋_GB2312" w:cs="仿宋_GB2312"/>
                <w:b w:val="0"/>
                <w:bCs w:val="0"/>
                <w:sz w:val="28"/>
                <w:szCs w:val="28"/>
                <w:highlight w:val="none"/>
                <w:vertAlign w:val="baseline"/>
                <w:lang w:val="en-US" w:eastAsia="zh-CN"/>
              </w:rPr>
              <w:t>检测服务内容</w:t>
            </w:r>
          </w:p>
        </w:tc>
        <w:tc>
          <w:tcPr>
            <w:tcW w:w="795" w:type="dxa"/>
            <w:noWrap w:val="0"/>
            <w:vAlign w:val="center"/>
          </w:tcPr>
          <w:p w14:paraId="7195DB6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8"/>
                <w:szCs w:val="28"/>
                <w:highlight w:val="none"/>
                <w:vertAlign w:val="baseline"/>
                <w:lang w:val="en-US" w:eastAsia="zh-CN"/>
              </w:rPr>
            </w:pPr>
            <w:r>
              <w:rPr>
                <w:rFonts w:hint="eastAsia" w:ascii="仿宋_GB2312" w:hAnsi="仿宋_GB2312" w:eastAsia="仿宋_GB2312" w:cs="仿宋_GB2312"/>
                <w:b w:val="0"/>
                <w:bCs w:val="0"/>
                <w:sz w:val="28"/>
                <w:szCs w:val="28"/>
                <w:highlight w:val="none"/>
                <w:vertAlign w:val="baseline"/>
                <w:lang w:val="en-US" w:eastAsia="zh-CN"/>
              </w:rPr>
              <w:t>数量</w:t>
            </w:r>
          </w:p>
        </w:tc>
        <w:tc>
          <w:tcPr>
            <w:tcW w:w="1334" w:type="dxa"/>
            <w:noWrap w:val="0"/>
            <w:vAlign w:val="center"/>
          </w:tcPr>
          <w:p w14:paraId="60A43A1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b w:val="0"/>
                <w:bCs w:val="0"/>
                <w:sz w:val="28"/>
                <w:szCs w:val="28"/>
                <w:highlight w:val="none"/>
                <w:vertAlign w:val="baseline"/>
                <w:lang w:val="en-US" w:eastAsia="zh-CN"/>
              </w:rPr>
            </w:pPr>
            <w:r>
              <w:rPr>
                <w:rFonts w:hint="eastAsia" w:ascii="仿宋_GB2312" w:hAnsi="仿宋_GB2312" w:eastAsia="仿宋_GB2312" w:cs="仿宋_GB2312"/>
                <w:b w:val="0"/>
                <w:bCs w:val="0"/>
                <w:sz w:val="28"/>
                <w:szCs w:val="28"/>
                <w:highlight w:val="none"/>
                <w:vertAlign w:val="baseline"/>
                <w:lang w:val="en-US" w:eastAsia="zh-CN"/>
              </w:rPr>
              <w:t>备注</w:t>
            </w:r>
          </w:p>
        </w:tc>
      </w:tr>
      <w:tr w14:paraId="3A8B34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3" w:hRule="atLeast"/>
          <w:jc w:val="center"/>
        </w:trPr>
        <w:tc>
          <w:tcPr>
            <w:tcW w:w="1965" w:type="dxa"/>
            <w:noWrap w:val="0"/>
            <w:vAlign w:val="center"/>
          </w:tcPr>
          <w:p w14:paraId="4BC98BB0">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西安市本级排水管网管周空洞检测服务项目采购包1</w:t>
            </w:r>
          </w:p>
        </w:tc>
        <w:tc>
          <w:tcPr>
            <w:tcW w:w="4636" w:type="dxa"/>
            <w:noWrap w:val="0"/>
            <w:vAlign w:val="center"/>
          </w:tcPr>
          <w:p w14:paraId="7E75A202">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对城六区市管区域易涝防控点周边排水管网管周道路进行雷达空洞检测，检测长度不少于184.5km。查清排水管道管周道路存在的空洞、脱空区、疏松区及富水区等地下病害体，绘制道路地下病害分布图，完成检测任务，判断管道周围是否存在空洞以及空洞的大小和位置，分路段整理雷达探测结果，出具检测报告，给出下一步工作建议或措施。为城市排水管线病害防治与决策提供基础数据</w:t>
            </w:r>
          </w:p>
        </w:tc>
        <w:tc>
          <w:tcPr>
            <w:tcW w:w="795" w:type="dxa"/>
            <w:noWrap w:val="0"/>
            <w:vAlign w:val="center"/>
          </w:tcPr>
          <w:p w14:paraId="4E23FD6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1项</w:t>
            </w:r>
          </w:p>
        </w:tc>
        <w:tc>
          <w:tcPr>
            <w:tcW w:w="1334" w:type="dxa"/>
            <w:noWrap w:val="0"/>
            <w:vAlign w:val="center"/>
          </w:tcPr>
          <w:p w14:paraId="0C9A306A">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lang w:val="en-US" w:eastAsia="zh-CN"/>
              </w:rPr>
              <w:t>出具由CMA认证的权威性检测报告；具体检测任务由采购人根据需要确定。</w:t>
            </w:r>
          </w:p>
        </w:tc>
      </w:tr>
      <w:tr w14:paraId="6EDED7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3" w:hRule="atLeast"/>
          <w:jc w:val="center"/>
        </w:trPr>
        <w:tc>
          <w:tcPr>
            <w:tcW w:w="1965" w:type="dxa"/>
            <w:noWrap w:val="0"/>
            <w:vAlign w:val="center"/>
          </w:tcPr>
          <w:p w14:paraId="64A160CE">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西安市本级排水管网管周空洞检测服务项目采购包2</w:t>
            </w:r>
          </w:p>
        </w:tc>
        <w:tc>
          <w:tcPr>
            <w:tcW w:w="4636" w:type="dxa"/>
            <w:noWrap w:val="0"/>
            <w:vAlign w:val="center"/>
          </w:tcPr>
          <w:p w14:paraId="076E94E9">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sz w:val="24"/>
                <w:szCs w:val="24"/>
                <w:highlight w:val="none"/>
                <w:lang w:val="en-US" w:eastAsia="zh-CN"/>
              </w:rPr>
            </w:pPr>
            <w:r>
              <w:rPr>
                <w:rFonts w:hint="eastAsia" w:ascii="仿宋" w:hAnsi="仿宋" w:eastAsia="仿宋" w:cs="仿宋"/>
                <w:b w:val="0"/>
                <w:bCs w:val="0"/>
                <w:sz w:val="24"/>
                <w:szCs w:val="24"/>
                <w:highlight w:val="none"/>
                <w:lang w:val="en-US" w:eastAsia="zh-CN"/>
              </w:rPr>
              <w:t>对城六区市管区域高负荷运行的排水管网管周道路进行雷达空洞检测，检测长度至少172.64km。查清排水管道管周道路存在的空洞、脱空区、疏松区及富水区等地下病害体，绘制道路地下病害分布图，完成检测任务，判断管道周围是否存在空洞以及空洞的大小和位置，分路段整理雷达探测结果，出具检测报告，给出下一步工作建议或措施。为城市排水管线病害防治与决策提供基础数据</w:t>
            </w:r>
          </w:p>
        </w:tc>
        <w:tc>
          <w:tcPr>
            <w:tcW w:w="795" w:type="dxa"/>
            <w:shd w:val="clear" w:color="auto" w:fill="auto"/>
            <w:noWrap w:val="0"/>
            <w:vAlign w:val="center"/>
          </w:tcPr>
          <w:p w14:paraId="03DCCBC5">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kern w:val="2"/>
                <w:sz w:val="24"/>
                <w:szCs w:val="24"/>
                <w:highlight w:val="none"/>
                <w:vertAlign w:val="baseline"/>
                <w:lang w:val="en-US" w:eastAsia="zh-CN" w:bidi="ar-SA"/>
              </w:rPr>
            </w:pPr>
            <w:r>
              <w:rPr>
                <w:rFonts w:hint="eastAsia" w:ascii="仿宋" w:hAnsi="仿宋" w:eastAsia="仿宋" w:cs="仿宋"/>
                <w:b w:val="0"/>
                <w:bCs w:val="0"/>
                <w:sz w:val="24"/>
                <w:szCs w:val="24"/>
                <w:highlight w:val="none"/>
                <w:vertAlign w:val="baseline"/>
                <w:lang w:val="en-US" w:eastAsia="zh-CN"/>
              </w:rPr>
              <w:t>1项</w:t>
            </w:r>
          </w:p>
        </w:tc>
        <w:tc>
          <w:tcPr>
            <w:tcW w:w="1334" w:type="dxa"/>
            <w:shd w:val="clear" w:color="auto" w:fill="auto"/>
            <w:noWrap w:val="0"/>
            <w:vAlign w:val="center"/>
          </w:tcPr>
          <w:p w14:paraId="66CA140F">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仿宋" w:hAnsi="仿宋" w:eastAsia="仿宋" w:cs="仿宋"/>
                <w:b w:val="0"/>
                <w:bCs w:val="0"/>
                <w:kern w:val="2"/>
                <w:sz w:val="24"/>
                <w:szCs w:val="24"/>
                <w:highlight w:val="none"/>
                <w:vertAlign w:val="baseline"/>
                <w:lang w:val="en-US" w:eastAsia="zh-CN" w:bidi="ar-SA"/>
              </w:rPr>
            </w:pPr>
            <w:r>
              <w:rPr>
                <w:rFonts w:hint="eastAsia" w:ascii="仿宋" w:hAnsi="仿宋" w:eastAsia="仿宋" w:cs="仿宋"/>
                <w:b w:val="0"/>
                <w:bCs w:val="0"/>
                <w:sz w:val="24"/>
                <w:szCs w:val="24"/>
                <w:highlight w:val="none"/>
                <w:lang w:val="en-US" w:eastAsia="zh-CN"/>
              </w:rPr>
              <w:t>出具由CMA认证的权威性检测报告；具体检测任务由采购人根据需要确定。</w:t>
            </w:r>
          </w:p>
        </w:tc>
      </w:tr>
    </w:tbl>
    <w:p w14:paraId="77EC1EE3">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rPr>
        <w:t>（二）合同总价是指本次服务内容所需的全部费用,包括完成采购内容所需的直接费、间接费、利润、税金及其他相关的一切费用。</w:t>
      </w:r>
    </w:p>
    <w:p w14:paraId="1124BCAC">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（三）合同总价一次性包死，不受市场价格变化因素的影响。</w:t>
      </w:r>
    </w:p>
    <w:p w14:paraId="0904E638">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highlight w:val="none"/>
        </w:rPr>
      </w:pPr>
      <w:r>
        <w:rPr>
          <w:rFonts w:hint="eastAsia" w:ascii="仿宋_GB2312" w:hAnsi="仿宋_GB2312" w:eastAsia="仿宋_GB2312" w:cs="仿宋_GB2312"/>
          <w:b/>
          <w:bCs/>
          <w:sz w:val="28"/>
          <w:szCs w:val="28"/>
          <w:highlight w:val="none"/>
        </w:rPr>
        <w:t>二、委托工作内容</w:t>
      </w:r>
      <w:r>
        <w:rPr>
          <w:rFonts w:hint="eastAsia" w:ascii="仿宋_GB2312" w:hAnsi="仿宋_GB2312" w:eastAsia="仿宋_GB2312" w:cs="仿宋_GB2312"/>
          <w:sz w:val="28"/>
          <w:szCs w:val="28"/>
          <w:highlight w:val="none"/>
          <w:lang w:val="en-US" w:eastAsia="zh-CN"/>
        </w:rPr>
        <w:t xml:space="preserve"> ：</w:t>
      </w:r>
      <w:r>
        <w:rPr>
          <w:rFonts w:hint="eastAsia" w:ascii="仿宋_GB2312" w:hAnsi="仿宋_GB2312" w:eastAsia="仿宋_GB2312" w:cs="仿宋_GB2312"/>
          <w:sz w:val="28"/>
          <w:szCs w:val="28"/>
          <w:highlight w:val="none"/>
          <w:u w:val="single"/>
          <w:lang w:val="en-US" w:eastAsia="zh-CN"/>
        </w:rPr>
        <w:t xml:space="preserve">                                </w:t>
      </w:r>
      <w:r>
        <w:rPr>
          <w:rFonts w:hint="eastAsia" w:ascii="仿宋_GB2312" w:hAnsi="仿宋_GB2312" w:eastAsia="仿宋_GB2312" w:cs="仿宋_GB2312"/>
          <w:sz w:val="28"/>
          <w:szCs w:val="28"/>
          <w:highlight w:val="none"/>
          <w:lang w:val="en-US" w:eastAsia="zh-CN"/>
        </w:rPr>
        <w:t>。</w:t>
      </w:r>
    </w:p>
    <w:p w14:paraId="2A8693BD">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b/>
          <w:sz w:val="28"/>
          <w:szCs w:val="28"/>
          <w:highlight w:val="none"/>
          <w:lang w:val="en-US" w:eastAsia="zh-CN"/>
        </w:rPr>
        <w:t>三</w:t>
      </w:r>
      <w:r>
        <w:rPr>
          <w:rFonts w:hint="eastAsia" w:ascii="仿宋_GB2312" w:hAnsi="仿宋_GB2312" w:eastAsia="仿宋_GB2312" w:cs="仿宋_GB2312"/>
          <w:b/>
          <w:sz w:val="28"/>
          <w:szCs w:val="28"/>
          <w:highlight w:val="none"/>
        </w:rPr>
        <w:t>、款项结算</w:t>
      </w:r>
    </w:p>
    <w:p w14:paraId="080AE65E">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Cs/>
          <w:color w:val="auto"/>
          <w:sz w:val="28"/>
          <w:szCs w:val="28"/>
          <w:highlight w:val="yellow"/>
          <w:lang w:val="en-US" w:eastAsia="zh-CN"/>
        </w:rPr>
      </w:pPr>
      <w:r>
        <w:rPr>
          <w:rFonts w:hint="eastAsia" w:ascii="仿宋_GB2312" w:hAnsi="仿宋_GB2312" w:eastAsia="仿宋_GB2312" w:cs="仿宋_GB2312"/>
          <w:sz w:val="28"/>
          <w:szCs w:val="28"/>
          <w:highlight w:val="none"/>
        </w:rPr>
        <w:t>（一）项款支付:服务供应商在完成项目任务后以书面形式通知采购单位，采购组织召开项目验收会。项目合同签订后支付50%的预付款，项目通过履约验收后，达到付款条件后支付合同剩余价款</w:t>
      </w:r>
      <w:r>
        <w:rPr>
          <w:rFonts w:hint="eastAsia" w:ascii="仿宋_GB2312" w:hAnsi="仿宋_GB2312" w:eastAsia="仿宋_GB2312" w:cs="仿宋_GB2312"/>
          <w:b/>
          <w:bCs/>
          <w:sz w:val="32"/>
          <w:szCs w:val="32"/>
          <w:lang w:val="en-US" w:eastAsia="zh-CN"/>
        </w:rPr>
        <w:t>。</w:t>
      </w:r>
    </w:p>
    <w:p w14:paraId="4223F5C1">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（二）支付方式：银行转账。</w:t>
      </w:r>
    </w:p>
    <w:p w14:paraId="28200BA5">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（三）结算方式：乙方在接受付款前，</w:t>
      </w:r>
      <w:r>
        <w:rPr>
          <w:rFonts w:hint="eastAsia" w:ascii="仿宋_GB2312" w:hAnsi="仿宋_GB2312" w:eastAsia="仿宋_GB2312" w:cs="仿宋_GB2312"/>
          <w:sz w:val="28"/>
          <w:szCs w:val="28"/>
          <w:highlight w:val="none"/>
          <w:lang w:val="en-US" w:eastAsia="zh-CN"/>
        </w:rPr>
        <w:t>根据支付方式开具</w:t>
      </w:r>
      <w:r>
        <w:rPr>
          <w:rFonts w:hint="eastAsia" w:ascii="仿宋_GB2312" w:hAnsi="仿宋_GB2312" w:eastAsia="仿宋_GB2312" w:cs="仿宋_GB2312"/>
          <w:sz w:val="28"/>
          <w:szCs w:val="28"/>
          <w:highlight w:val="none"/>
        </w:rPr>
        <w:t>发票给甲方。</w:t>
      </w:r>
    </w:p>
    <w:p w14:paraId="5B191326">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（四）验收依据：合同文本,</w:t>
      </w:r>
      <w:r>
        <w:rPr>
          <w:rFonts w:hint="eastAsia" w:ascii="仿宋_GB2312" w:hAnsi="仿宋_GB2312" w:eastAsia="仿宋_GB2312" w:cs="仿宋_GB2312"/>
          <w:bCs/>
          <w:sz w:val="28"/>
          <w:szCs w:val="28"/>
          <w:highlight w:val="none"/>
          <w:lang w:eastAsia="zh-CN"/>
        </w:rPr>
        <w:t>磋商</w:t>
      </w:r>
      <w:r>
        <w:rPr>
          <w:rFonts w:hint="eastAsia" w:ascii="仿宋_GB2312" w:hAnsi="仿宋_GB2312" w:eastAsia="仿宋_GB2312" w:cs="仿宋_GB2312"/>
          <w:bCs/>
          <w:sz w:val="28"/>
          <w:szCs w:val="28"/>
          <w:highlight w:val="none"/>
        </w:rPr>
        <w:t>/</w:t>
      </w:r>
      <w:r>
        <w:rPr>
          <w:rFonts w:hint="eastAsia" w:ascii="仿宋_GB2312" w:hAnsi="仿宋_GB2312" w:eastAsia="仿宋_GB2312" w:cs="仿宋_GB2312"/>
          <w:bCs/>
          <w:sz w:val="28"/>
          <w:szCs w:val="28"/>
          <w:highlight w:val="none"/>
          <w:lang w:eastAsia="zh-CN"/>
        </w:rPr>
        <w:t>磋商响应</w:t>
      </w:r>
      <w:r>
        <w:rPr>
          <w:rFonts w:hint="eastAsia" w:ascii="仿宋_GB2312" w:hAnsi="仿宋_GB2312" w:eastAsia="仿宋_GB2312" w:cs="仿宋_GB2312"/>
          <w:bCs/>
          <w:sz w:val="28"/>
          <w:szCs w:val="28"/>
          <w:highlight w:val="none"/>
        </w:rPr>
        <w:t>文件和其他与项目相关的资料；国家和行业制定的相应的标准和规范：验收清单。</w:t>
      </w:r>
    </w:p>
    <w:p w14:paraId="3537D2AD">
      <w:pPr>
        <w:keepNext w:val="0"/>
        <w:keepLines w:val="0"/>
        <w:pageBreakBefore w:val="0"/>
        <w:widowControl w:val="0"/>
        <w:kinsoku/>
        <w:wordWrap/>
        <w:overflowPunct/>
        <w:topLinePunct w:val="0"/>
        <w:autoSpaceDE w:val="0"/>
        <w:autoSpaceDN w:val="0"/>
        <w:bidi w:val="0"/>
        <w:adjustRightInd w:val="0"/>
        <w:snapToGrid w:val="0"/>
        <w:spacing w:line="360" w:lineRule="auto"/>
        <w:ind w:firstLine="562" w:firstLineChars="200"/>
        <w:textAlignment w:val="auto"/>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lang w:val="en-US" w:eastAsia="zh-CN"/>
        </w:rPr>
        <w:t>四</w:t>
      </w:r>
      <w:r>
        <w:rPr>
          <w:rFonts w:hint="eastAsia" w:ascii="仿宋_GB2312" w:hAnsi="仿宋_GB2312" w:eastAsia="仿宋_GB2312" w:cs="仿宋_GB2312"/>
          <w:b/>
          <w:bCs/>
          <w:sz w:val="28"/>
          <w:szCs w:val="28"/>
          <w:highlight w:val="none"/>
        </w:rPr>
        <w:t>、服务要求</w:t>
      </w:r>
    </w:p>
    <w:p w14:paraId="34FDC2F1">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Cs/>
          <w:color w:val="auto"/>
          <w:sz w:val="28"/>
          <w:szCs w:val="28"/>
          <w:highlight w:val="none"/>
          <w:lang w:eastAsia="zh-CN"/>
        </w:rPr>
      </w:pPr>
      <w:r>
        <w:rPr>
          <w:rFonts w:hint="eastAsia" w:ascii="仿宋_GB2312" w:hAnsi="仿宋_GB2312" w:eastAsia="仿宋_GB2312" w:cs="仿宋_GB2312"/>
          <w:bCs/>
          <w:color w:val="auto"/>
          <w:sz w:val="28"/>
          <w:szCs w:val="28"/>
          <w:highlight w:val="none"/>
        </w:rPr>
        <w:t>（一）</w:t>
      </w:r>
      <w:r>
        <w:rPr>
          <w:rFonts w:hint="eastAsia" w:ascii="仿宋_GB2312" w:hAnsi="仿宋_GB2312" w:eastAsia="仿宋_GB2312" w:cs="仿宋_GB2312"/>
          <w:bCs/>
          <w:color w:val="auto"/>
          <w:sz w:val="28"/>
          <w:szCs w:val="28"/>
          <w:highlight w:val="none"/>
          <w:lang w:val="en-US" w:eastAsia="zh-CN"/>
        </w:rPr>
        <w:t>服务期限</w:t>
      </w:r>
      <w:r>
        <w:rPr>
          <w:rFonts w:hint="eastAsia" w:ascii="仿宋_GB2312" w:hAnsi="仿宋_GB2312" w:eastAsia="仿宋_GB2312" w:cs="仿宋_GB2312"/>
          <w:bCs/>
          <w:color w:val="auto"/>
          <w:sz w:val="28"/>
          <w:szCs w:val="28"/>
          <w:highlight w:val="none"/>
        </w:rPr>
        <w:t>：自合同签订之日起至2025年11月10日前完成。</w:t>
      </w:r>
    </w:p>
    <w:p w14:paraId="0057417D">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150"/>
        <w:textAlignment w:val="auto"/>
        <w:rPr>
          <w:rFonts w:hint="eastAsia" w:ascii="仿宋_GB2312" w:hAnsi="仿宋_GB2312" w:eastAsia="仿宋_GB2312" w:cs="仿宋_GB2312"/>
          <w:bCs/>
          <w:color w:val="auto"/>
          <w:sz w:val="28"/>
          <w:szCs w:val="28"/>
          <w:highlight w:val="none"/>
        </w:rPr>
      </w:pPr>
      <w:r>
        <w:rPr>
          <w:rFonts w:hint="eastAsia" w:ascii="仿宋_GB2312" w:hAnsi="仿宋_GB2312" w:eastAsia="仿宋_GB2312" w:cs="仿宋_GB2312"/>
          <w:bCs/>
          <w:kern w:val="0"/>
          <w:sz w:val="28"/>
          <w:szCs w:val="28"/>
          <w:highlight w:val="none"/>
        </w:rPr>
        <w:t xml:space="preserve"> </w:t>
      </w:r>
      <w:r>
        <w:rPr>
          <w:rFonts w:hint="eastAsia" w:ascii="仿宋_GB2312" w:hAnsi="仿宋_GB2312" w:eastAsia="仿宋_GB2312" w:cs="仿宋_GB2312"/>
          <w:bCs/>
          <w:sz w:val="28"/>
          <w:szCs w:val="28"/>
          <w:highlight w:val="none"/>
        </w:rPr>
        <w:t>（</w:t>
      </w:r>
      <w:r>
        <w:rPr>
          <w:rFonts w:hint="eastAsia" w:ascii="仿宋_GB2312" w:hAnsi="仿宋_GB2312" w:eastAsia="仿宋_GB2312" w:cs="仿宋_GB2312"/>
          <w:bCs/>
          <w:color w:val="auto"/>
          <w:sz w:val="28"/>
          <w:szCs w:val="28"/>
          <w:highlight w:val="none"/>
        </w:rPr>
        <w:t>二）</w:t>
      </w:r>
      <w:r>
        <w:rPr>
          <w:rFonts w:hint="eastAsia" w:ascii="仿宋_GB2312" w:hAnsi="仿宋_GB2312" w:eastAsia="仿宋_GB2312" w:cs="仿宋_GB2312"/>
          <w:bCs/>
          <w:color w:val="auto"/>
          <w:sz w:val="28"/>
          <w:szCs w:val="28"/>
          <w:highlight w:val="none"/>
          <w:lang w:val="en-US" w:eastAsia="zh-CN"/>
        </w:rPr>
        <w:t>服务地点：</w:t>
      </w:r>
      <w:r>
        <w:rPr>
          <w:rFonts w:hint="eastAsia" w:ascii="仿宋_GB2312" w:hAnsi="仿宋_GB2312" w:eastAsia="仿宋_GB2312" w:cs="仿宋_GB2312"/>
          <w:bCs/>
          <w:color w:val="auto"/>
          <w:sz w:val="28"/>
          <w:szCs w:val="28"/>
          <w:highlight w:val="none"/>
        </w:rPr>
        <w:t>采购包1：对城六区市管区域易涝防控点周边排水管网管周道路，检测长度不少于184.5km。</w:t>
      </w:r>
    </w:p>
    <w:p w14:paraId="32D052F1">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150"/>
        <w:textAlignment w:val="auto"/>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color w:val="auto"/>
          <w:sz w:val="28"/>
          <w:szCs w:val="28"/>
          <w:highlight w:val="none"/>
        </w:rPr>
        <w:t>采购包2：城六区市管区域高负荷运行的排水管网管周道路，检测长度至少172.64km。</w:t>
      </w:r>
    </w:p>
    <w:p w14:paraId="59FA1A9C">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b/>
          <w:bCs/>
          <w:sz w:val="28"/>
          <w:szCs w:val="28"/>
          <w:highlight w:val="none"/>
          <w:lang w:val="en-US" w:eastAsia="zh-CN"/>
        </w:rPr>
        <w:t>五</w:t>
      </w:r>
      <w:r>
        <w:rPr>
          <w:rFonts w:hint="eastAsia" w:ascii="仿宋_GB2312" w:hAnsi="仿宋_GB2312" w:eastAsia="仿宋_GB2312" w:cs="仿宋_GB2312"/>
          <w:b/>
          <w:bCs/>
          <w:sz w:val="28"/>
          <w:szCs w:val="28"/>
          <w:highlight w:val="none"/>
        </w:rPr>
        <w:t>、</w:t>
      </w:r>
      <w:r>
        <w:rPr>
          <w:rFonts w:hint="eastAsia" w:ascii="仿宋_GB2312" w:hAnsi="仿宋_GB2312" w:eastAsia="仿宋_GB2312" w:cs="仿宋_GB2312"/>
          <w:b/>
          <w:bCs/>
          <w:sz w:val="28"/>
          <w:szCs w:val="28"/>
          <w:highlight w:val="none"/>
          <w:lang w:val="en-US" w:eastAsia="zh-CN"/>
        </w:rPr>
        <w:t>权利和义务</w:t>
      </w:r>
      <w:r>
        <w:rPr>
          <w:rFonts w:hint="eastAsia" w:ascii="仿宋_GB2312" w:hAnsi="仿宋_GB2312" w:eastAsia="仿宋_GB2312" w:cs="仿宋_GB2312"/>
          <w:sz w:val="28"/>
          <w:szCs w:val="28"/>
          <w:highlight w:val="none"/>
          <w:lang w:val="en-US" w:eastAsia="zh-CN"/>
        </w:rPr>
        <w:t xml:space="preserve"> </w:t>
      </w:r>
    </w:p>
    <w:p w14:paraId="2985AD97">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w:t>
      </w:r>
      <w:r>
        <w:rPr>
          <w:rFonts w:hint="eastAsia" w:ascii="仿宋_GB2312" w:hAnsi="仿宋_GB2312" w:eastAsia="仿宋_GB2312" w:cs="仿宋_GB2312"/>
          <w:sz w:val="28"/>
          <w:szCs w:val="28"/>
          <w:highlight w:val="none"/>
          <w:lang w:val="en-US" w:eastAsia="zh-CN"/>
        </w:rPr>
        <w:t xml:space="preserve">甲方权利与义务 </w:t>
      </w:r>
    </w:p>
    <w:p w14:paraId="5860C8EE">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1.甲方负责配合本次项目工作；</w:t>
      </w:r>
    </w:p>
    <w:p w14:paraId="3651C4E1">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2.甲方应按本合同的约定向乙方支付合同价款；</w:t>
      </w:r>
    </w:p>
    <w:p w14:paraId="51CB7FB6">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3.甲方根据需要对乙方提供的服务方案进行审核，提供建议及意见，确定最终实施的服务方案，以便乙方遵照执行；</w:t>
      </w:r>
    </w:p>
    <w:p w14:paraId="35C8E30C">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4.甲方有权对乙方的工作进行监督和考核。</w:t>
      </w:r>
    </w:p>
    <w:p w14:paraId="380CD63E">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（二）乙方权利和义务 </w:t>
      </w:r>
    </w:p>
    <w:p w14:paraId="3F422378">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 xml:space="preserve">1.乙方应按照国家服务规范、标准和甲方的采购需求和服务要求进行工作，根据甲方要求按时提交质量合格的服务成果，满足甲方需求； </w:t>
      </w:r>
    </w:p>
    <w:p w14:paraId="51846936">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rPr>
      </w:pPr>
      <w:r>
        <w:rPr>
          <w:rFonts w:hint="eastAsia" w:ascii="仿宋_GB2312" w:hAnsi="仿宋_GB2312" w:eastAsia="仿宋_GB2312" w:cs="仿宋_GB2312"/>
          <w:b w:val="0"/>
          <w:snapToGrid w:val="0"/>
          <w:color w:val="000000"/>
          <w:kern w:val="0"/>
          <w:sz w:val="28"/>
          <w:szCs w:val="28"/>
          <w:highlight w:val="none"/>
          <w:lang w:val="en-US" w:eastAsia="zh-CN" w:bidi="ar-SA"/>
        </w:rPr>
        <w:t>2</w:t>
      </w:r>
      <w:r>
        <w:rPr>
          <w:rFonts w:hint="eastAsia" w:ascii="仿宋_GB2312" w:hAnsi="仿宋_GB2312" w:eastAsia="仿宋_GB2312" w:cs="仿宋_GB2312"/>
          <w:sz w:val="28"/>
          <w:szCs w:val="28"/>
          <w:highlight w:val="none"/>
          <w:lang w:val="en-US" w:eastAsia="zh-CN"/>
        </w:rPr>
        <w:t>.</w:t>
      </w:r>
      <w:r>
        <w:rPr>
          <w:rFonts w:hint="eastAsia" w:ascii="仿宋_GB2312" w:hAnsi="仿宋_GB2312" w:eastAsia="仿宋_GB2312" w:cs="仿宋_GB2312"/>
          <w:b w:val="0"/>
          <w:snapToGrid w:val="0"/>
          <w:color w:val="000000"/>
          <w:kern w:val="0"/>
          <w:sz w:val="28"/>
          <w:szCs w:val="28"/>
          <w:highlight w:val="none"/>
          <w:lang w:val="en-US" w:eastAsia="zh-CN" w:bidi="ar-SA"/>
        </w:rPr>
        <w:t>根据本合同的规定向甲方收取相关服务费用，并有权在本项目管理范围内管理及合理使用；</w:t>
      </w:r>
    </w:p>
    <w:p w14:paraId="25897235">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3.乙方有权对业务工作提出建议； </w:t>
      </w:r>
    </w:p>
    <w:p w14:paraId="1F1DEDF6">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 xml:space="preserve">4.乙方应接受甲方的检查监督及指导，完成甲方依合同约定交办的各项工作任务； </w:t>
      </w:r>
    </w:p>
    <w:p w14:paraId="2DD5AD99">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5.按合同约定要求开展工作，如有改变，乙方应提出书面申请，并征得甲方的书面同意；</w:t>
      </w:r>
    </w:p>
    <w:p w14:paraId="1D46EC98">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 w:val="0"/>
          <w:bCs/>
          <w:sz w:val="28"/>
          <w:szCs w:val="28"/>
          <w:highlight w:val="none"/>
          <w:lang w:val="en-US" w:eastAsia="zh-CN"/>
        </w:rPr>
      </w:pPr>
      <w:r>
        <w:rPr>
          <w:rFonts w:hint="eastAsia" w:ascii="仿宋_GB2312" w:hAnsi="仿宋_GB2312" w:eastAsia="仿宋_GB2312" w:cs="仿宋_GB2312"/>
          <w:b w:val="0"/>
          <w:bCs/>
          <w:sz w:val="28"/>
          <w:szCs w:val="28"/>
          <w:highlight w:val="none"/>
          <w:lang w:val="en-US" w:eastAsia="zh-CN"/>
        </w:rPr>
        <w:t>6.乙方对项目实施中涉及甲方的各种信息、数据或技术材料等具有保密义务；</w:t>
      </w:r>
    </w:p>
    <w:p w14:paraId="2235CBC7">
      <w:pPr>
        <w:keepNext w:val="0"/>
        <w:keepLines w:val="0"/>
        <w:pageBreakBefore w:val="0"/>
        <w:widowControl w:val="0"/>
        <w:kinsoku/>
        <w:wordWrap/>
        <w:overflowPunct/>
        <w:topLinePunct w:val="0"/>
        <w:autoSpaceDE w:val="0"/>
        <w:autoSpaceDN w:val="0"/>
        <w:bidi w:val="0"/>
        <w:adjustRightInd w:val="0"/>
        <w:snapToGrid w:val="0"/>
        <w:spacing w:line="360" w:lineRule="auto"/>
        <w:ind w:firstLine="560" w:firstLineChars="200"/>
        <w:textAlignment w:val="auto"/>
        <w:rPr>
          <w:rFonts w:hint="eastAsia" w:ascii="仿宋_GB2312" w:hAnsi="仿宋_GB2312" w:eastAsia="仿宋_GB2312" w:cs="仿宋_GB2312"/>
          <w:b w:val="0"/>
          <w:bCs/>
          <w:sz w:val="28"/>
          <w:szCs w:val="28"/>
          <w:highlight w:val="none"/>
          <w:lang w:val="en-US" w:eastAsia="zh-CN"/>
        </w:rPr>
      </w:pPr>
      <w:r>
        <w:rPr>
          <w:rFonts w:hint="eastAsia" w:ascii="仿宋_GB2312" w:hAnsi="仿宋_GB2312" w:eastAsia="仿宋_GB2312" w:cs="仿宋_GB2312"/>
          <w:b w:val="0"/>
          <w:bCs/>
          <w:sz w:val="28"/>
          <w:szCs w:val="28"/>
          <w:highlight w:val="none"/>
          <w:lang w:val="en-US" w:eastAsia="zh-CN"/>
        </w:rPr>
        <w:t>7.国家法律、法规所规定由乙方承担的其它责任。</w:t>
      </w:r>
    </w:p>
    <w:p w14:paraId="01082255">
      <w:pPr>
        <w:autoSpaceDE w:val="0"/>
        <w:autoSpaceDN w:val="0"/>
        <w:adjustRightInd w:val="0"/>
        <w:spacing w:line="360" w:lineRule="auto"/>
        <w:ind w:firstLine="562" w:firstLineChars="200"/>
        <w:rPr>
          <w:rFonts w:hint="default" w:ascii="仿宋_GB2312" w:hAnsi="仿宋_GB2312" w:eastAsia="仿宋_GB2312" w:cs="仿宋_GB2312"/>
          <w:b/>
          <w:color w:val="auto"/>
          <w:sz w:val="28"/>
          <w:szCs w:val="28"/>
          <w:highlight w:val="none"/>
          <w:lang w:val="en-US" w:eastAsia="zh-CN"/>
        </w:rPr>
      </w:pPr>
      <w:r>
        <w:rPr>
          <w:rFonts w:hint="eastAsia" w:ascii="仿宋_GB2312" w:hAnsi="仿宋_GB2312" w:eastAsia="仿宋_GB2312" w:cs="仿宋_GB2312"/>
          <w:b/>
          <w:color w:val="auto"/>
          <w:sz w:val="28"/>
          <w:szCs w:val="28"/>
          <w:highlight w:val="none"/>
          <w:lang w:val="en-US" w:eastAsia="zh-CN"/>
        </w:rPr>
        <w:t>六、服务质量保证</w:t>
      </w:r>
    </w:p>
    <w:p w14:paraId="314B9D3E">
      <w:pPr>
        <w:autoSpaceDE w:val="0"/>
        <w:autoSpaceDN w:val="0"/>
        <w:adjustRightInd w:val="0"/>
        <w:snapToGrid w:val="0"/>
        <w:spacing w:line="360" w:lineRule="auto"/>
        <w:ind w:firstLine="630"/>
        <w:rPr>
          <w:rFonts w:hint="eastAsia" w:ascii="仿宋_GB2312" w:hAnsi="仿宋" w:eastAsia="仿宋_GB2312"/>
          <w:bCs/>
          <w:color w:val="auto"/>
          <w:sz w:val="28"/>
          <w:szCs w:val="28"/>
          <w:highlight w:val="none"/>
        </w:rPr>
      </w:pPr>
      <w:r>
        <w:rPr>
          <w:rFonts w:hint="eastAsia" w:ascii="仿宋_GB2312" w:hAnsi="仿宋" w:eastAsia="仿宋_GB2312"/>
          <w:bCs/>
          <w:color w:val="auto"/>
          <w:sz w:val="28"/>
          <w:szCs w:val="28"/>
          <w:highlight w:val="none"/>
        </w:rPr>
        <w:t>以磋商文件、澄清（承诺）函、合同和服务承诺的相关文件为准，但至少应包括：</w:t>
      </w:r>
    </w:p>
    <w:p w14:paraId="1929E745">
      <w:pPr>
        <w:autoSpaceDE w:val="0"/>
        <w:autoSpaceDN w:val="0"/>
        <w:adjustRightInd w:val="0"/>
        <w:snapToGrid w:val="0"/>
        <w:spacing w:line="360" w:lineRule="auto"/>
        <w:ind w:firstLine="560" w:firstLineChars="200"/>
        <w:rPr>
          <w:rFonts w:hint="eastAsia" w:ascii="仿宋_GB2312" w:hAnsi="仿宋" w:eastAsia="仿宋_GB2312"/>
          <w:bCs/>
          <w:color w:val="auto"/>
          <w:sz w:val="28"/>
          <w:szCs w:val="28"/>
          <w:highlight w:val="none"/>
        </w:rPr>
      </w:pPr>
      <w:r>
        <w:rPr>
          <w:rFonts w:hint="eastAsia" w:ascii="仿宋_GB2312" w:hAnsi="仿宋" w:eastAsia="仿宋_GB2312"/>
          <w:bCs/>
          <w:color w:val="auto"/>
          <w:sz w:val="28"/>
          <w:szCs w:val="28"/>
          <w:highlight w:val="none"/>
        </w:rPr>
        <w:t>（一）乙方需派一名</w:t>
      </w:r>
      <w:bookmarkStart w:id="1" w:name="_GoBack"/>
      <w:bookmarkEnd w:id="1"/>
      <w:r>
        <w:rPr>
          <w:rFonts w:hint="eastAsia" w:ascii="仿宋_GB2312" w:hAnsi="仿宋" w:eastAsia="仿宋_GB2312"/>
          <w:bCs/>
          <w:color w:val="auto"/>
          <w:sz w:val="28"/>
          <w:szCs w:val="28"/>
          <w:highlight w:val="none"/>
          <w:lang w:eastAsia="zh-CN"/>
        </w:rPr>
        <w:t>项目负责人</w:t>
      </w:r>
      <w:r>
        <w:rPr>
          <w:rFonts w:hint="eastAsia" w:ascii="仿宋_GB2312" w:hAnsi="仿宋" w:eastAsia="仿宋_GB2312"/>
          <w:bCs/>
          <w:color w:val="auto"/>
          <w:sz w:val="28"/>
          <w:szCs w:val="28"/>
          <w:highlight w:val="none"/>
        </w:rPr>
        <w:t>，直接与甲方沟通，</w:t>
      </w:r>
      <w:r>
        <w:rPr>
          <w:rFonts w:hint="eastAsia" w:ascii="仿宋_GB2312" w:hAnsi="仿宋" w:eastAsia="仿宋_GB2312"/>
          <w:bCs/>
          <w:color w:val="auto"/>
          <w:sz w:val="28"/>
          <w:szCs w:val="28"/>
          <w:highlight w:val="none"/>
          <w:lang w:eastAsia="zh-CN"/>
        </w:rPr>
        <w:t>项目负责人</w:t>
      </w:r>
      <w:r>
        <w:rPr>
          <w:rFonts w:hint="eastAsia" w:ascii="仿宋_GB2312" w:hAnsi="仿宋" w:eastAsia="仿宋_GB2312"/>
          <w:bCs/>
          <w:color w:val="auto"/>
          <w:sz w:val="28"/>
          <w:szCs w:val="28"/>
          <w:highlight w:val="none"/>
        </w:rPr>
        <w:t>接收甲方提出的问题与要求，并及时反馈给工作组，解决在项目实施过程中遇到的问题。</w:t>
      </w:r>
    </w:p>
    <w:p w14:paraId="51691521">
      <w:pPr>
        <w:autoSpaceDE w:val="0"/>
        <w:autoSpaceDN w:val="0"/>
        <w:adjustRightInd w:val="0"/>
        <w:snapToGrid w:val="0"/>
        <w:spacing w:line="360" w:lineRule="auto"/>
        <w:ind w:firstLine="560" w:firstLineChars="200"/>
        <w:rPr>
          <w:rFonts w:hint="eastAsia" w:ascii="仿宋_GB2312" w:hAnsi="仿宋" w:eastAsia="仿宋_GB2312"/>
          <w:bCs/>
          <w:color w:val="auto"/>
          <w:sz w:val="28"/>
          <w:szCs w:val="28"/>
          <w:highlight w:val="none"/>
        </w:rPr>
      </w:pPr>
      <w:r>
        <w:rPr>
          <w:rFonts w:hint="eastAsia" w:ascii="仿宋_GB2312" w:hAnsi="仿宋" w:eastAsia="仿宋_GB2312"/>
          <w:bCs/>
          <w:color w:val="auto"/>
          <w:sz w:val="28"/>
          <w:szCs w:val="28"/>
          <w:highlight w:val="none"/>
        </w:rPr>
        <w:t>（二）项目在实施过程中会出现不可预料的需求变更，乙方需积极配合甲方的需求变更，并按照变更后的需求继续进行方案实施。</w:t>
      </w:r>
    </w:p>
    <w:p w14:paraId="3B644CEB">
      <w:pPr>
        <w:autoSpaceDE w:val="0"/>
        <w:autoSpaceDN w:val="0"/>
        <w:adjustRightInd w:val="0"/>
        <w:snapToGrid w:val="0"/>
        <w:spacing w:line="360" w:lineRule="auto"/>
        <w:ind w:firstLine="560" w:firstLineChars="200"/>
        <w:rPr>
          <w:rFonts w:hint="eastAsia" w:ascii="仿宋_GB2312" w:hAnsi="仿宋" w:eastAsia="仿宋_GB2312"/>
          <w:bCs/>
          <w:color w:val="auto"/>
          <w:sz w:val="28"/>
          <w:szCs w:val="28"/>
          <w:highlight w:val="none"/>
        </w:rPr>
      </w:pPr>
      <w:r>
        <w:rPr>
          <w:rFonts w:hint="eastAsia" w:ascii="仿宋_GB2312" w:hAnsi="仿宋" w:eastAsia="仿宋_GB2312"/>
          <w:bCs/>
          <w:color w:val="auto"/>
          <w:sz w:val="28"/>
          <w:szCs w:val="28"/>
          <w:highlight w:val="none"/>
        </w:rPr>
        <w:t>（三）乙方需提交所有实施方案流程及说明文档。</w:t>
      </w:r>
    </w:p>
    <w:p w14:paraId="04A4281A">
      <w:pPr>
        <w:autoSpaceDE w:val="0"/>
        <w:autoSpaceDN w:val="0"/>
        <w:adjustRightInd w:val="0"/>
        <w:snapToGrid w:val="0"/>
        <w:spacing w:line="360" w:lineRule="auto"/>
        <w:ind w:firstLine="560" w:firstLineChars="200"/>
        <w:rPr>
          <w:rFonts w:hint="eastAsia" w:ascii="仿宋_GB2312" w:hAnsi="仿宋" w:eastAsia="仿宋_GB2312"/>
          <w:bCs/>
          <w:color w:val="auto"/>
          <w:sz w:val="28"/>
          <w:szCs w:val="28"/>
          <w:highlight w:val="none"/>
        </w:rPr>
      </w:pPr>
      <w:r>
        <w:rPr>
          <w:rFonts w:hint="eastAsia" w:ascii="仿宋_GB2312" w:hAnsi="仿宋" w:eastAsia="仿宋_GB2312"/>
          <w:bCs/>
          <w:color w:val="auto"/>
          <w:sz w:val="28"/>
          <w:szCs w:val="28"/>
          <w:highlight w:val="none"/>
        </w:rPr>
        <w:t>（四）乙方需建立高效的管理团队，项目团队组成合理。</w:t>
      </w:r>
    </w:p>
    <w:p w14:paraId="660B4626">
      <w:pPr>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
          <w:sz w:val="28"/>
          <w:szCs w:val="28"/>
          <w:highlight w:val="none"/>
          <w:lang w:val="en-US" w:eastAsia="zh-CN"/>
        </w:rPr>
      </w:pPr>
      <w:r>
        <w:rPr>
          <w:rFonts w:hint="eastAsia" w:ascii="仿宋_GB2312" w:hAnsi="仿宋" w:eastAsia="仿宋_GB2312"/>
          <w:bCs/>
          <w:color w:val="auto"/>
          <w:sz w:val="28"/>
          <w:szCs w:val="28"/>
          <w:highlight w:val="none"/>
        </w:rPr>
        <w:t>（五）乙方需设有详细的技术资料档案和服务档案，将保存项目的详细资料以便于更好地提供服务。</w:t>
      </w:r>
    </w:p>
    <w:p w14:paraId="757565D7">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lang w:val="en-US" w:eastAsia="zh-CN"/>
        </w:rPr>
      </w:pPr>
      <w:r>
        <w:rPr>
          <w:rFonts w:hint="eastAsia" w:ascii="仿宋_GB2312" w:hAnsi="仿宋_GB2312" w:eastAsia="仿宋_GB2312" w:cs="仿宋_GB2312"/>
          <w:b/>
          <w:sz w:val="28"/>
          <w:szCs w:val="28"/>
          <w:highlight w:val="none"/>
          <w:lang w:val="en-US" w:eastAsia="zh-CN"/>
        </w:rPr>
        <w:t>七、工作成果及履约验收要求</w:t>
      </w:r>
    </w:p>
    <w:p w14:paraId="6D44CF29">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成果交付要求。要求逐条道路进行探测评价，并按项目要求提交探测评价报告及成果资料（纸质一式2份并提供电子版，探测成果资料，包括雷达探测原始数据、测线数据、叠加路网绘制测线分布图、处理以后的雷达图谱等），报告应包括如下内容：</w:t>
      </w:r>
    </w:p>
    <w:p w14:paraId="57752BDF">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(1)工程概况，探测的时间、地点、方法、依据，使用的仪器设备名称、规格、数量，项目负责人；</w:t>
      </w:r>
    </w:p>
    <w:p w14:paraId="22643D1B">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(2)逐条道路的探测状况（配以现场图片）及记录分析数据；每条的测线长度和总量；</w:t>
      </w:r>
    </w:p>
    <w:p w14:paraId="0BA0CB19">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(3)道路总体概况及历年来大中修、抢修等维修情况；道路地铁暗挖、管道暗挖施工的路段、掘路施工路段、曾经发生过塌陷的路段进行情况说明；</w:t>
      </w:r>
    </w:p>
    <w:p w14:paraId="2F85E542">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(4)探测目标内基础中是否存在影响道路安全使用的隐蔽不良地质体，具体为空洞、水囊、土层松散区，并确定其准确位置、大小及埋深；</w:t>
      </w:r>
    </w:p>
    <w:p w14:paraId="606505AF">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(5)道路下方管径超过2m，埋深浅的方沟，确定其上方覆土是否密实；</w:t>
      </w:r>
    </w:p>
    <w:p w14:paraId="15D1ECC6">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(6)探测结果（判明探测道路存在的基础疏松和空洞情况，明确基础疏松、空洞的位置、大小及埋深，对形成原因进行初步分析）；</w:t>
      </w:r>
    </w:p>
    <w:p w14:paraId="49A957A4">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(7)分析现存隐患可能产生的影响程度，为空洞、基础土层松散区提出相应的处理和维修方案，采取有效处理措施消除安全隐患，确保道路安全运行。对病害处理方案提出建议。</w:t>
      </w:r>
    </w:p>
    <w:p w14:paraId="05075856">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项目完成后，按要求提交项目的全部成果，成果形式、要求如下：</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8"/>
        <w:gridCol w:w="5048"/>
        <w:gridCol w:w="2046"/>
      </w:tblGrid>
      <w:tr w14:paraId="1FB6E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98" w:type="dxa"/>
            <w:noWrap w:val="0"/>
            <w:vAlign w:val="center"/>
          </w:tcPr>
          <w:p w14:paraId="796397D2">
            <w:pPr>
              <w:keepNext w:val="0"/>
              <w:keepLines w:val="0"/>
              <w:pageBreakBefore w:val="0"/>
              <w:widowControl w:val="0"/>
              <w:kinsoku/>
              <w:wordWrap/>
              <w:overflowPunct/>
              <w:topLinePunct w:val="0"/>
              <w:bidi w:val="0"/>
              <w:adjustRightInd w:val="0"/>
              <w:snapToGrid w:val="0"/>
              <w:spacing w:line="360" w:lineRule="auto"/>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序号</w:t>
            </w:r>
          </w:p>
        </w:tc>
        <w:tc>
          <w:tcPr>
            <w:tcW w:w="5048" w:type="dxa"/>
            <w:noWrap w:val="0"/>
            <w:vAlign w:val="center"/>
          </w:tcPr>
          <w:p w14:paraId="0BB5779F">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成果内容</w:t>
            </w:r>
          </w:p>
        </w:tc>
        <w:tc>
          <w:tcPr>
            <w:tcW w:w="2046" w:type="dxa"/>
            <w:noWrap w:val="0"/>
            <w:vAlign w:val="center"/>
          </w:tcPr>
          <w:p w14:paraId="28119E1B">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提交形式</w:t>
            </w:r>
          </w:p>
        </w:tc>
      </w:tr>
      <w:tr w14:paraId="7BF659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898" w:type="dxa"/>
            <w:noWrap w:val="0"/>
            <w:vAlign w:val="center"/>
          </w:tcPr>
          <w:p w14:paraId="58C40D36">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w:t>
            </w:r>
          </w:p>
        </w:tc>
        <w:tc>
          <w:tcPr>
            <w:tcW w:w="5048" w:type="dxa"/>
            <w:noWrap w:val="0"/>
            <w:vAlign w:val="center"/>
          </w:tcPr>
          <w:p w14:paraId="556BD317">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技术设计书（实施方案）</w:t>
            </w:r>
          </w:p>
        </w:tc>
        <w:tc>
          <w:tcPr>
            <w:tcW w:w="2046" w:type="dxa"/>
            <w:noWrap w:val="0"/>
            <w:vAlign w:val="center"/>
          </w:tcPr>
          <w:p w14:paraId="149D9E58">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纸质、电子</w:t>
            </w:r>
          </w:p>
        </w:tc>
      </w:tr>
      <w:tr w14:paraId="28AD9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898" w:type="dxa"/>
            <w:noWrap w:val="0"/>
            <w:vAlign w:val="center"/>
          </w:tcPr>
          <w:p w14:paraId="24A0C559">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w:t>
            </w:r>
          </w:p>
        </w:tc>
        <w:tc>
          <w:tcPr>
            <w:tcW w:w="5048" w:type="dxa"/>
            <w:noWrap w:val="0"/>
            <w:vAlign w:val="center"/>
          </w:tcPr>
          <w:p w14:paraId="29994D4B">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病害体探测成果报告</w:t>
            </w:r>
          </w:p>
        </w:tc>
        <w:tc>
          <w:tcPr>
            <w:tcW w:w="2046" w:type="dxa"/>
            <w:noWrap w:val="0"/>
            <w:vAlign w:val="center"/>
          </w:tcPr>
          <w:p w14:paraId="2AA46B6A">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纸质、电子</w:t>
            </w:r>
          </w:p>
        </w:tc>
      </w:tr>
      <w:tr w14:paraId="5D8DDB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898" w:type="dxa"/>
            <w:noWrap w:val="0"/>
            <w:vAlign w:val="center"/>
          </w:tcPr>
          <w:p w14:paraId="7D9E02E2">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w:t>
            </w:r>
          </w:p>
        </w:tc>
        <w:tc>
          <w:tcPr>
            <w:tcW w:w="5048" w:type="dxa"/>
            <w:noWrap w:val="0"/>
            <w:vAlign w:val="center"/>
          </w:tcPr>
          <w:p w14:paraId="272FC41B">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雷达探测原始数据</w:t>
            </w:r>
          </w:p>
        </w:tc>
        <w:tc>
          <w:tcPr>
            <w:tcW w:w="2046" w:type="dxa"/>
            <w:noWrap w:val="0"/>
            <w:vAlign w:val="center"/>
          </w:tcPr>
          <w:p w14:paraId="4E38193C">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电子</w:t>
            </w:r>
          </w:p>
        </w:tc>
      </w:tr>
      <w:tr w14:paraId="09947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898" w:type="dxa"/>
            <w:noWrap w:val="0"/>
            <w:vAlign w:val="center"/>
          </w:tcPr>
          <w:p w14:paraId="483075A8">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4</w:t>
            </w:r>
          </w:p>
        </w:tc>
        <w:tc>
          <w:tcPr>
            <w:tcW w:w="5048" w:type="dxa"/>
            <w:noWrap w:val="0"/>
            <w:vAlign w:val="center"/>
          </w:tcPr>
          <w:p w14:paraId="0A796B45">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病害体分布图</w:t>
            </w:r>
          </w:p>
        </w:tc>
        <w:tc>
          <w:tcPr>
            <w:tcW w:w="2046" w:type="dxa"/>
            <w:noWrap w:val="0"/>
            <w:vAlign w:val="center"/>
          </w:tcPr>
          <w:p w14:paraId="5A509191">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电子</w:t>
            </w:r>
          </w:p>
        </w:tc>
      </w:tr>
      <w:tr w14:paraId="55CB1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898" w:type="dxa"/>
            <w:noWrap w:val="0"/>
            <w:vAlign w:val="center"/>
          </w:tcPr>
          <w:p w14:paraId="27E90BD9">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5</w:t>
            </w:r>
          </w:p>
        </w:tc>
        <w:tc>
          <w:tcPr>
            <w:tcW w:w="5048" w:type="dxa"/>
            <w:noWrap w:val="0"/>
            <w:vAlign w:val="center"/>
          </w:tcPr>
          <w:p w14:paraId="29CDE564">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病害体图集和属性表</w:t>
            </w:r>
          </w:p>
        </w:tc>
        <w:tc>
          <w:tcPr>
            <w:tcW w:w="2046" w:type="dxa"/>
            <w:noWrap w:val="0"/>
            <w:vAlign w:val="center"/>
          </w:tcPr>
          <w:p w14:paraId="5D8DF35B">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电子</w:t>
            </w:r>
          </w:p>
        </w:tc>
      </w:tr>
    </w:tbl>
    <w:p w14:paraId="1EAA91DB">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2、履约验收要求。</w:t>
      </w:r>
    </w:p>
    <w:p w14:paraId="65E1D033">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（1）服务供应商在完成项目任务后以书面形式通知采购单位，采购组织召开项目验收会。</w:t>
      </w:r>
    </w:p>
    <w:p w14:paraId="5396E9A3">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（2）在项目实施过程中或验收时，如发现质量不符合规定，服务商应负责无偿返工。</w:t>
      </w:r>
    </w:p>
    <w:p w14:paraId="1A7A6196">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3）服务供应商对检测成果负责，验收合格后，服务供应商提供为期3个月的服务技术质量保证期，在服务期内检测过的路段，如外部因素无明显变化或没有其他外力影响，对采购人提出的问题，进行探测与复核，若发生安全生产事故，有义务配合管理部门跟踪调查，提供线索，服务技术质量保证的相关费用包含在投标报价中，采购人不另行支付。</w:t>
      </w:r>
    </w:p>
    <w:p w14:paraId="15E139F8">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lang w:val="en-US" w:eastAsia="zh-CN"/>
        </w:rPr>
        <w:t>（4）服务供应商所供的成果文件必须保证符合国家相关程序和相关规定，质量符合现行的国家及行业相关的雷达探测的技术规范要求，确保真实性、可靠性。</w:t>
      </w:r>
    </w:p>
    <w:p w14:paraId="28EDAE70">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sz w:val="28"/>
          <w:szCs w:val="28"/>
          <w:highlight w:val="none"/>
          <w:lang w:val="en-US" w:eastAsia="zh-CN"/>
        </w:rPr>
        <w:t>八、</w:t>
      </w:r>
      <w:r>
        <w:rPr>
          <w:rFonts w:hint="eastAsia" w:ascii="仿宋_GB2312" w:hAnsi="仿宋_GB2312" w:eastAsia="仿宋_GB2312" w:cs="仿宋_GB2312"/>
          <w:b/>
          <w:sz w:val="28"/>
          <w:szCs w:val="28"/>
          <w:highlight w:val="none"/>
        </w:rPr>
        <w:t>其它事项</w:t>
      </w:r>
    </w:p>
    <w:p w14:paraId="598D0A7B">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（一）乙方不得将项目转让、分包给其它单位或个人。</w:t>
      </w:r>
    </w:p>
    <w:p w14:paraId="69E96EF4">
      <w:pPr>
        <w:keepNext w:val="0"/>
        <w:keepLines w:val="0"/>
        <w:pageBreakBefore w:val="0"/>
        <w:widowControl w:val="0"/>
        <w:kinsoku/>
        <w:wordWrap/>
        <w:overflowPunct/>
        <w:topLinePunct w:val="0"/>
        <w:bidi w:val="0"/>
        <w:adjustRightInd w:val="0"/>
        <w:snapToGrid w:val="0"/>
        <w:spacing w:line="360" w:lineRule="auto"/>
        <w:ind w:firstLine="560" w:firstLineChars="200"/>
        <w:textAlignment w:val="auto"/>
        <w:rPr>
          <w:rFonts w:hint="eastAsia" w:ascii="仿宋_GB2312" w:hAnsi="仿宋_GB2312" w:eastAsia="仿宋_GB2312" w:cs="仿宋_GB2312"/>
          <w:b w:val="0"/>
          <w:bCs/>
          <w:sz w:val="28"/>
          <w:szCs w:val="28"/>
          <w:highlight w:val="none"/>
        </w:rPr>
      </w:pPr>
      <w:r>
        <w:rPr>
          <w:rFonts w:hint="eastAsia" w:ascii="仿宋_GB2312" w:hAnsi="仿宋_GB2312" w:eastAsia="仿宋_GB2312" w:cs="仿宋_GB2312"/>
          <w:b w:val="0"/>
          <w:bCs/>
          <w:sz w:val="28"/>
          <w:szCs w:val="28"/>
          <w:highlight w:val="none"/>
        </w:rPr>
        <w:t>（二）乙方的磋商响应文件和承诺等内容将列入合同。</w:t>
      </w:r>
    </w:p>
    <w:p w14:paraId="15825B59">
      <w:pPr>
        <w:keepNext w:val="0"/>
        <w:keepLines w:val="0"/>
        <w:pageBreakBefore w:val="0"/>
        <w:widowControl w:val="0"/>
        <w:kinsoku/>
        <w:wordWrap/>
        <w:overflowPunct/>
        <w:topLinePunct w:val="0"/>
        <w:bidi w:val="0"/>
        <w:adjustRightInd w:val="0"/>
        <w:snapToGrid w:val="0"/>
        <w:spacing w:line="360" w:lineRule="auto"/>
        <w:ind w:firstLine="562" w:firstLineChars="200"/>
        <w:textAlignment w:val="auto"/>
        <w:rPr>
          <w:rFonts w:hint="eastAsia" w:ascii="仿宋_GB2312" w:hAnsi="仿宋_GB2312" w:eastAsia="仿宋_GB2312" w:cs="仿宋_GB2312"/>
          <w:b/>
          <w:sz w:val="28"/>
          <w:szCs w:val="28"/>
          <w:highlight w:val="none"/>
        </w:rPr>
      </w:pPr>
      <w:r>
        <w:rPr>
          <w:rFonts w:hint="eastAsia" w:ascii="仿宋_GB2312" w:hAnsi="仿宋_GB2312" w:eastAsia="仿宋_GB2312" w:cs="仿宋_GB2312"/>
          <w:b/>
          <w:bCs/>
          <w:sz w:val="28"/>
          <w:szCs w:val="28"/>
          <w:highlight w:val="none"/>
          <w:lang w:val="en-US" w:eastAsia="zh-CN"/>
        </w:rPr>
        <w:t>九</w:t>
      </w:r>
      <w:r>
        <w:rPr>
          <w:rFonts w:hint="eastAsia" w:ascii="仿宋_GB2312" w:hAnsi="仿宋_GB2312" w:eastAsia="仿宋_GB2312" w:cs="仿宋_GB2312"/>
          <w:b/>
          <w:bCs/>
          <w:sz w:val="28"/>
          <w:szCs w:val="28"/>
          <w:highlight w:val="none"/>
        </w:rPr>
        <w:t>、</w:t>
      </w:r>
      <w:r>
        <w:rPr>
          <w:rFonts w:hint="eastAsia" w:ascii="仿宋_GB2312" w:hAnsi="仿宋_GB2312" w:eastAsia="仿宋_GB2312" w:cs="仿宋_GB2312"/>
          <w:b/>
          <w:sz w:val="28"/>
          <w:szCs w:val="28"/>
          <w:highlight w:val="none"/>
        </w:rPr>
        <w:t>违约责任</w:t>
      </w:r>
    </w:p>
    <w:p w14:paraId="594DC573">
      <w:pPr>
        <w:autoSpaceDE w:val="0"/>
        <w:autoSpaceDN w:val="0"/>
        <w:adjustRightInd w:val="0"/>
        <w:snapToGrid w:val="0"/>
        <w:spacing w:line="360" w:lineRule="auto"/>
        <w:ind w:firstLine="63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（一）按《中华人民共和国民法典》中的相关条款执行。</w:t>
      </w:r>
    </w:p>
    <w:p w14:paraId="22DB7B5A">
      <w:pPr>
        <w:autoSpaceDE w:val="0"/>
        <w:autoSpaceDN w:val="0"/>
        <w:adjustRightInd w:val="0"/>
        <w:snapToGrid w:val="0"/>
        <w:spacing w:line="360" w:lineRule="auto"/>
        <w:ind w:firstLine="63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（二）按合同要求提供服务或服务质量不能满足</w:t>
      </w:r>
      <w:r>
        <w:rPr>
          <w:rFonts w:hint="eastAsia" w:ascii="仿宋_GB2312" w:hAnsi="仿宋_GB2312" w:eastAsia="仿宋_GB2312" w:cs="仿宋_GB2312"/>
          <w:sz w:val="28"/>
          <w:szCs w:val="28"/>
          <w:highlight w:val="none"/>
        </w:rPr>
        <w:t>不能满足本次磋商要求</w:t>
      </w:r>
      <w:r>
        <w:rPr>
          <w:rFonts w:hint="eastAsia" w:ascii="仿宋_GB2312" w:hAnsi="仿宋_GB2312" w:eastAsia="仿宋_GB2312" w:cs="仿宋_GB2312"/>
          <w:bCs/>
          <w:sz w:val="28"/>
          <w:szCs w:val="28"/>
          <w:highlight w:val="none"/>
        </w:rPr>
        <w:t>，乙方必须无条件提高技术，完善服务质量，否则，甲方会同监督机构、采购代理机构有权终止合同并对乙方违约行为进行追究，同时按政府采购供应商管理办法进行相应的处罚。</w:t>
      </w:r>
    </w:p>
    <w:p w14:paraId="2366AA60">
      <w:pPr>
        <w:autoSpaceDE w:val="0"/>
        <w:autoSpaceDN w:val="0"/>
        <w:adjustRightInd w:val="0"/>
        <w:snapToGrid w:val="0"/>
        <w:spacing w:line="360" w:lineRule="auto"/>
        <w:ind w:firstLine="63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（三）任何一方因不可抗力原因不能履行协议时，应尽快通知对方，双方均设法补偿。如仍无法履约协议，可协商延缓或撤销协议，双方责任免除。</w:t>
      </w:r>
    </w:p>
    <w:p w14:paraId="37E6160A">
      <w:pPr>
        <w:autoSpaceDE w:val="0"/>
        <w:autoSpaceDN w:val="0"/>
        <w:adjustRightInd w:val="0"/>
        <w:spacing w:line="360" w:lineRule="auto"/>
        <w:ind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lang w:val="en-US" w:eastAsia="zh-CN"/>
        </w:rPr>
        <w:t>十</w:t>
      </w:r>
      <w:r>
        <w:rPr>
          <w:rFonts w:hint="eastAsia" w:ascii="仿宋_GB2312" w:hAnsi="仿宋_GB2312" w:eastAsia="仿宋_GB2312" w:cs="仿宋_GB2312"/>
          <w:b/>
          <w:bCs/>
          <w:sz w:val="28"/>
          <w:szCs w:val="28"/>
          <w:highlight w:val="none"/>
        </w:rPr>
        <w:t>、合同争议解决的方式</w:t>
      </w:r>
    </w:p>
    <w:p w14:paraId="67BD965A">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本合同在履行过程中发生的争议，由甲、乙双方当事人协商解决，协商不成的按下列第</w:t>
      </w:r>
      <w:r>
        <w:rPr>
          <w:rFonts w:hint="eastAsia" w:ascii="仿宋_GB2312" w:hAnsi="仿宋_GB2312" w:eastAsia="仿宋_GB2312" w:cs="仿宋_GB2312"/>
          <w:bCs/>
          <w:sz w:val="28"/>
          <w:szCs w:val="28"/>
          <w:highlight w:val="none"/>
          <w:u w:val="single"/>
        </w:rPr>
        <w:t>（二）</w:t>
      </w:r>
      <w:r>
        <w:rPr>
          <w:rFonts w:hint="eastAsia" w:ascii="仿宋_GB2312" w:hAnsi="仿宋_GB2312" w:eastAsia="仿宋_GB2312" w:cs="仿宋_GB2312"/>
          <w:bCs/>
          <w:sz w:val="28"/>
          <w:szCs w:val="28"/>
          <w:highlight w:val="none"/>
        </w:rPr>
        <w:t>种方式解决：</w:t>
      </w:r>
    </w:p>
    <w:p w14:paraId="56D2E0B2">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（一）提交西安仲裁委员会仲裁；</w:t>
      </w:r>
    </w:p>
    <w:p w14:paraId="0807AFBD">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（二）依法向甲方所在地人民法院起诉。</w:t>
      </w:r>
    </w:p>
    <w:p w14:paraId="43247BD7">
      <w:pPr>
        <w:autoSpaceDE w:val="0"/>
        <w:autoSpaceDN w:val="0"/>
        <w:adjustRightInd w:val="0"/>
        <w:spacing w:line="360" w:lineRule="auto"/>
        <w:ind w:firstLine="562" w:firstLineChars="200"/>
        <w:rPr>
          <w:rFonts w:hint="eastAsia" w:ascii="仿宋_GB2312" w:hAnsi="仿宋_GB2312" w:eastAsia="仿宋_GB2312" w:cs="仿宋_GB2312"/>
          <w:b/>
          <w:bCs/>
          <w:sz w:val="28"/>
          <w:szCs w:val="28"/>
          <w:highlight w:val="none"/>
        </w:rPr>
      </w:pPr>
      <w:r>
        <w:rPr>
          <w:rFonts w:hint="eastAsia" w:ascii="仿宋_GB2312" w:hAnsi="仿宋_GB2312" w:eastAsia="仿宋_GB2312" w:cs="仿宋_GB2312"/>
          <w:b/>
          <w:bCs/>
          <w:sz w:val="28"/>
          <w:szCs w:val="28"/>
          <w:highlight w:val="none"/>
          <w:lang w:val="en-US" w:eastAsia="zh-CN"/>
        </w:rPr>
        <w:t>十一</w:t>
      </w:r>
      <w:r>
        <w:rPr>
          <w:rFonts w:hint="eastAsia" w:ascii="仿宋_GB2312" w:hAnsi="仿宋_GB2312" w:eastAsia="仿宋_GB2312" w:cs="仿宋_GB2312"/>
          <w:b/>
          <w:bCs/>
          <w:sz w:val="28"/>
          <w:szCs w:val="28"/>
          <w:highlight w:val="none"/>
        </w:rPr>
        <w:t>、合同生效</w:t>
      </w:r>
    </w:p>
    <w:p w14:paraId="2E28566D">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（一）本合同经双方签字盖章后生效。</w:t>
      </w:r>
    </w:p>
    <w:p w14:paraId="56083C46">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（二）本合同须经甲、乙双方的法定代表人（授权代理人）在合同书上签字并加盖本单位公章后正式生效。</w:t>
      </w:r>
    </w:p>
    <w:p w14:paraId="012E7890">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（三）合同生效后，甲、乙双方须严格执行本合同条款的规定，全面履行合同，违者按《</w:t>
      </w:r>
      <w:r>
        <w:rPr>
          <w:rFonts w:hint="eastAsia" w:ascii="仿宋_GB2312" w:hAnsi="仿宋" w:eastAsia="仿宋_GB2312"/>
          <w:bCs/>
          <w:sz w:val="28"/>
          <w:szCs w:val="28"/>
          <w:highlight w:val="none"/>
          <w:lang w:eastAsia="zh-CN"/>
        </w:rPr>
        <w:t>中华人民共和国民法典</w:t>
      </w:r>
      <w:r>
        <w:rPr>
          <w:rFonts w:hint="eastAsia" w:ascii="仿宋_GB2312" w:hAnsi="仿宋_GB2312" w:eastAsia="仿宋_GB2312" w:cs="仿宋_GB2312"/>
          <w:bCs/>
          <w:sz w:val="28"/>
          <w:szCs w:val="28"/>
          <w:highlight w:val="none"/>
        </w:rPr>
        <w:t>》的有关规定承担相应责任。</w:t>
      </w:r>
    </w:p>
    <w:p w14:paraId="4A20AAB8">
      <w:pPr>
        <w:autoSpaceDE w:val="0"/>
        <w:autoSpaceDN w:val="0"/>
        <w:adjustRightInd w:val="0"/>
        <w:spacing w:line="360" w:lineRule="auto"/>
        <w:ind w:firstLine="560" w:firstLineChars="200"/>
        <w:rPr>
          <w:rFonts w:hint="eastAsia" w:ascii="仿宋_GB2312" w:hAnsi="仿宋_GB2312" w:eastAsia="仿宋_GB2312" w:cs="仿宋_GB2312"/>
          <w:bCs/>
          <w:sz w:val="28"/>
          <w:szCs w:val="28"/>
          <w:highlight w:val="none"/>
        </w:rPr>
      </w:pPr>
      <w:r>
        <w:rPr>
          <w:rFonts w:hint="eastAsia" w:ascii="仿宋_GB2312" w:hAnsi="仿宋_GB2312" w:eastAsia="仿宋_GB2312" w:cs="仿宋_GB2312"/>
          <w:bCs/>
          <w:sz w:val="28"/>
          <w:szCs w:val="28"/>
          <w:highlight w:val="none"/>
        </w:rPr>
        <w:t>（四）本合同一式</w:t>
      </w:r>
      <w:r>
        <w:rPr>
          <w:rFonts w:hint="eastAsia" w:ascii="仿宋_GB2312" w:hAnsi="仿宋_GB2312" w:eastAsia="仿宋_GB2312" w:cs="仿宋_GB2312"/>
          <w:bCs/>
          <w:sz w:val="28"/>
          <w:szCs w:val="28"/>
          <w:highlight w:val="none"/>
          <w:u w:val="single"/>
        </w:rPr>
        <w:t xml:space="preserve">   </w:t>
      </w:r>
      <w:r>
        <w:rPr>
          <w:rFonts w:hint="eastAsia" w:ascii="仿宋_GB2312" w:hAnsi="仿宋_GB2312" w:eastAsia="仿宋_GB2312" w:cs="仿宋_GB2312"/>
          <w:bCs/>
          <w:sz w:val="28"/>
          <w:szCs w:val="28"/>
          <w:highlight w:val="none"/>
        </w:rPr>
        <w:t>份，甲乙双方各执</w:t>
      </w:r>
      <w:r>
        <w:rPr>
          <w:rFonts w:hint="eastAsia" w:ascii="仿宋_GB2312" w:hAnsi="仿宋_GB2312" w:eastAsia="仿宋_GB2312" w:cs="仿宋_GB2312"/>
          <w:bCs/>
          <w:sz w:val="28"/>
          <w:szCs w:val="28"/>
          <w:highlight w:val="none"/>
          <w:u w:val="single"/>
        </w:rPr>
        <w:t xml:space="preserve">    </w:t>
      </w:r>
      <w:r>
        <w:rPr>
          <w:rFonts w:hint="eastAsia" w:ascii="仿宋_GB2312" w:hAnsi="仿宋_GB2312" w:eastAsia="仿宋_GB2312" w:cs="仿宋_GB2312"/>
          <w:bCs/>
          <w:sz w:val="28"/>
          <w:szCs w:val="28"/>
          <w:highlight w:val="none"/>
        </w:rPr>
        <w:t>份。</w:t>
      </w:r>
    </w:p>
    <w:p w14:paraId="77EA6048">
      <w:pPr>
        <w:autoSpaceDE w:val="0"/>
        <w:autoSpaceDN w:val="0"/>
        <w:adjustRightInd w:val="0"/>
        <w:spacing w:line="360" w:lineRule="auto"/>
        <w:ind w:firstLine="560" w:firstLineChars="200"/>
        <w:rPr>
          <w:rFonts w:hint="eastAsia" w:ascii="仿宋_GB2312" w:hAnsi="仿宋" w:eastAsia="仿宋_GB2312"/>
          <w:sz w:val="28"/>
          <w:szCs w:val="28"/>
        </w:rPr>
      </w:pPr>
      <w:r>
        <w:rPr>
          <w:rFonts w:hint="eastAsia" w:ascii="仿宋_GB2312" w:hAnsi="仿宋_GB2312" w:eastAsia="仿宋_GB2312" w:cs="仿宋_GB2312"/>
          <w:bCs/>
          <w:sz w:val="28"/>
          <w:szCs w:val="28"/>
          <w:highlight w:val="none"/>
        </w:rPr>
        <w:t>（五）本合同如有未尽事宜，甲、乙双方协商解决。</w:t>
      </w:r>
    </w:p>
    <w:p w14:paraId="5FCD9B37">
      <w:pPr>
        <w:pStyle w:val="24"/>
        <w:rPr>
          <w:rFonts w:hint="eastAsia"/>
        </w:rPr>
      </w:pPr>
    </w:p>
    <w:tbl>
      <w:tblPr>
        <w:tblStyle w:val="14"/>
        <w:tblW w:w="0" w:type="auto"/>
        <w:jc w:val="center"/>
        <w:tblLayout w:type="fixed"/>
        <w:tblCellMar>
          <w:top w:w="0" w:type="dxa"/>
          <w:left w:w="108" w:type="dxa"/>
          <w:bottom w:w="0" w:type="dxa"/>
          <w:right w:w="108" w:type="dxa"/>
        </w:tblCellMar>
      </w:tblPr>
      <w:tblGrid>
        <w:gridCol w:w="4201"/>
        <w:gridCol w:w="4202"/>
      </w:tblGrid>
      <w:tr w14:paraId="2084FE84">
        <w:tblPrEx>
          <w:tblCellMar>
            <w:top w:w="0" w:type="dxa"/>
            <w:left w:w="108" w:type="dxa"/>
            <w:bottom w:w="0" w:type="dxa"/>
            <w:right w:w="108" w:type="dxa"/>
          </w:tblCellMar>
        </w:tblPrEx>
        <w:trPr>
          <w:trHeight w:val="567" w:hRule="exact"/>
          <w:jc w:val="center"/>
        </w:trPr>
        <w:tc>
          <w:tcPr>
            <w:tcW w:w="4201" w:type="dxa"/>
            <w:noWrap w:val="0"/>
            <w:vAlign w:val="center"/>
          </w:tcPr>
          <w:p w14:paraId="556A10A9">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甲  方</w:t>
            </w:r>
          </w:p>
        </w:tc>
        <w:tc>
          <w:tcPr>
            <w:tcW w:w="4202" w:type="dxa"/>
            <w:noWrap w:val="0"/>
            <w:vAlign w:val="center"/>
          </w:tcPr>
          <w:p w14:paraId="3BDDB716">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乙  方</w:t>
            </w:r>
          </w:p>
        </w:tc>
      </w:tr>
      <w:tr w14:paraId="100D924B">
        <w:tblPrEx>
          <w:tblCellMar>
            <w:top w:w="0" w:type="dxa"/>
            <w:left w:w="108" w:type="dxa"/>
            <w:bottom w:w="0" w:type="dxa"/>
            <w:right w:w="108" w:type="dxa"/>
          </w:tblCellMar>
        </w:tblPrEx>
        <w:trPr>
          <w:trHeight w:val="567" w:hRule="exact"/>
          <w:jc w:val="center"/>
        </w:trPr>
        <w:tc>
          <w:tcPr>
            <w:tcW w:w="4201" w:type="dxa"/>
            <w:noWrap w:val="0"/>
            <w:vAlign w:val="center"/>
          </w:tcPr>
          <w:p w14:paraId="2F6BBB14">
            <w:pPr>
              <w:autoSpaceDE w:val="0"/>
              <w:autoSpaceDN w:val="0"/>
              <w:adjustRightInd w:val="0"/>
              <w:ind w:firstLine="840" w:firstLineChars="35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（盖章）</w:t>
            </w:r>
          </w:p>
        </w:tc>
        <w:tc>
          <w:tcPr>
            <w:tcW w:w="4202" w:type="dxa"/>
            <w:noWrap w:val="0"/>
            <w:vAlign w:val="center"/>
          </w:tcPr>
          <w:p w14:paraId="71CBA9FB">
            <w:pPr>
              <w:autoSpaceDE w:val="0"/>
              <w:autoSpaceDN w:val="0"/>
              <w:adjustRightInd w:val="0"/>
              <w:ind w:firstLine="960" w:firstLineChars="40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（盖章）</w:t>
            </w:r>
          </w:p>
        </w:tc>
      </w:tr>
      <w:tr w14:paraId="3D2BABA4">
        <w:tblPrEx>
          <w:tblCellMar>
            <w:top w:w="0" w:type="dxa"/>
            <w:left w:w="108" w:type="dxa"/>
            <w:bottom w:w="0" w:type="dxa"/>
            <w:right w:w="108" w:type="dxa"/>
          </w:tblCellMar>
        </w:tblPrEx>
        <w:trPr>
          <w:trHeight w:val="567" w:hRule="exact"/>
          <w:jc w:val="center"/>
        </w:trPr>
        <w:tc>
          <w:tcPr>
            <w:tcW w:w="4201" w:type="dxa"/>
            <w:noWrap w:val="0"/>
            <w:vAlign w:val="center"/>
          </w:tcPr>
          <w:p w14:paraId="3C681C33">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 xml:space="preserve">地址： </w:t>
            </w:r>
          </w:p>
        </w:tc>
        <w:tc>
          <w:tcPr>
            <w:tcW w:w="4202" w:type="dxa"/>
            <w:noWrap w:val="0"/>
            <w:vAlign w:val="center"/>
          </w:tcPr>
          <w:p w14:paraId="32858DE9">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地址：</w:t>
            </w:r>
          </w:p>
        </w:tc>
      </w:tr>
      <w:tr w14:paraId="03E7AD6D">
        <w:tblPrEx>
          <w:tblCellMar>
            <w:top w:w="0" w:type="dxa"/>
            <w:left w:w="108" w:type="dxa"/>
            <w:bottom w:w="0" w:type="dxa"/>
            <w:right w:w="108" w:type="dxa"/>
          </w:tblCellMar>
        </w:tblPrEx>
        <w:trPr>
          <w:trHeight w:val="567" w:hRule="exact"/>
          <w:jc w:val="center"/>
        </w:trPr>
        <w:tc>
          <w:tcPr>
            <w:tcW w:w="4201" w:type="dxa"/>
            <w:noWrap w:val="0"/>
            <w:vAlign w:val="center"/>
          </w:tcPr>
          <w:p w14:paraId="4A967B49">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 xml:space="preserve">法定代表人 </w:t>
            </w:r>
          </w:p>
        </w:tc>
        <w:tc>
          <w:tcPr>
            <w:tcW w:w="4202" w:type="dxa"/>
            <w:noWrap w:val="0"/>
            <w:vAlign w:val="center"/>
          </w:tcPr>
          <w:p w14:paraId="2BD1C209">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法定代表人</w:t>
            </w:r>
          </w:p>
        </w:tc>
      </w:tr>
      <w:tr w14:paraId="14148174">
        <w:tblPrEx>
          <w:tblCellMar>
            <w:top w:w="0" w:type="dxa"/>
            <w:left w:w="108" w:type="dxa"/>
            <w:bottom w:w="0" w:type="dxa"/>
            <w:right w:w="108" w:type="dxa"/>
          </w:tblCellMar>
        </w:tblPrEx>
        <w:trPr>
          <w:trHeight w:val="567" w:hRule="exact"/>
          <w:jc w:val="center"/>
        </w:trPr>
        <w:tc>
          <w:tcPr>
            <w:tcW w:w="4201" w:type="dxa"/>
            <w:noWrap w:val="0"/>
            <w:vAlign w:val="center"/>
          </w:tcPr>
          <w:p w14:paraId="15C9065E">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或授权代表：</w:t>
            </w:r>
          </w:p>
        </w:tc>
        <w:tc>
          <w:tcPr>
            <w:tcW w:w="4202" w:type="dxa"/>
            <w:noWrap w:val="0"/>
            <w:vAlign w:val="center"/>
          </w:tcPr>
          <w:p w14:paraId="0A934591">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或授权代表：</w:t>
            </w:r>
          </w:p>
        </w:tc>
      </w:tr>
      <w:tr w14:paraId="1AEC4979">
        <w:tblPrEx>
          <w:tblCellMar>
            <w:top w:w="0" w:type="dxa"/>
            <w:left w:w="108" w:type="dxa"/>
            <w:bottom w:w="0" w:type="dxa"/>
            <w:right w:w="108" w:type="dxa"/>
          </w:tblCellMar>
        </w:tblPrEx>
        <w:trPr>
          <w:trHeight w:val="567" w:hRule="exact"/>
          <w:jc w:val="center"/>
        </w:trPr>
        <w:tc>
          <w:tcPr>
            <w:tcW w:w="4201" w:type="dxa"/>
            <w:noWrap w:val="0"/>
            <w:vAlign w:val="center"/>
          </w:tcPr>
          <w:p w14:paraId="5301E8FE">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电话：</w:t>
            </w:r>
          </w:p>
        </w:tc>
        <w:tc>
          <w:tcPr>
            <w:tcW w:w="4202" w:type="dxa"/>
            <w:noWrap w:val="0"/>
            <w:vAlign w:val="center"/>
          </w:tcPr>
          <w:p w14:paraId="7D39509F">
            <w:pPr>
              <w:autoSpaceDE w:val="0"/>
              <w:autoSpaceDN w:val="0"/>
              <w:adjustRightInd w:val="0"/>
              <w:ind w:left="720" w:hanging="720" w:hangingChars="30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电话：</w:t>
            </w:r>
          </w:p>
        </w:tc>
      </w:tr>
      <w:tr w14:paraId="0D7095C6">
        <w:tblPrEx>
          <w:tblCellMar>
            <w:top w:w="0" w:type="dxa"/>
            <w:left w:w="108" w:type="dxa"/>
            <w:bottom w:w="0" w:type="dxa"/>
            <w:right w:w="108" w:type="dxa"/>
          </w:tblCellMar>
        </w:tblPrEx>
        <w:trPr>
          <w:trHeight w:val="567" w:hRule="exact"/>
          <w:jc w:val="center"/>
        </w:trPr>
        <w:tc>
          <w:tcPr>
            <w:tcW w:w="4201" w:type="dxa"/>
            <w:noWrap w:val="0"/>
            <w:vAlign w:val="center"/>
          </w:tcPr>
          <w:p w14:paraId="5FA0153D">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传真：</w:t>
            </w:r>
          </w:p>
        </w:tc>
        <w:tc>
          <w:tcPr>
            <w:tcW w:w="4202" w:type="dxa"/>
            <w:noWrap w:val="0"/>
            <w:vAlign w:val="center"/>
          </w:tcPr>
          <w:p w14:paraId="4793E14B">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传真：</w:t>
            </w:r>
          </w:p>
        </w:tc>
      </w:tr>
      <w:tr w14:paraId="1F305B3D">
        <w:tblPrEx>
          <w:tblCellMar>
            <w:top w:w="0" w:type="dxa"/>
            <w:left w:w="108" w:type="dxa"/>
            <w:bottom w:w="0" w:type="dxa"/>
            <w:right w:w="108" w:type="dxa"/>
          </w:tblCellMar>
        </w:tblPrEx>
        <w:trPr>
          <w:trHeight w:val="567" w:hRule="exact"/>
          <w:jc w:val="center"/>
        </w:trPr>
        <w:tc>
          <w:tcPr>
            <w:tcW w:w="4201" w:type="dxa"/>
            <w:noWrap w:val="0"/>
            <w:vAlign w:val="center"/>
          </w:tcPr>
          <w:p w14:paraId="7FE920D4">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开户银行：</w:t>
            </w:r>
          </w:p>
        </w:tc>
        <w:tc>
          <w:tcPr>
            <w:tcW w:w="4202" w:type="dxa"/>
            <w:noWrap w:val="0"/>
            <w:vAlign w:val="center"/>
          </w:tcPr>
          <w:p w14:paraId="114F00F8">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开户银行：</w:t>
            </w:r>
          </w:p>
        </w:tc>
      </w:tr>
      <w:tr w14:paraId="20007539">
        <w:tblPrEx>
          <w:tblCellMar>
            <w:top w:w="0" w:type="dxa"/>
            <w:left w:w="108" w:type="dxa"/>
            <w:bottom w:w="0" w:type="dxa"/>
            <w:right w:w="108" w:type="dxa"/>
          </w:tblCellMar>
        </w:tblPrEx>
        <w:trPr>
          <w:trHeight w:val="567" w:hRule="exact"/>
          <w:jc w:val="center"/>
        </w:trPr>
        <w:tc>
          <w:tcPr>
            <w:tcW w:w="4201" w:type="dxa"/>
            <w:noWrap w:val="0"/>
            <w:vAlign w:val="center"/>
          </w:tcPr>
          <w:p w14:paraId="019F01A7">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日期：</w:t>
            </w:r>
          </w:p>
        </w:tc>
        <w:tc>
          <w:tcPr>
            <w:tcW w:w="4202" w:type="dxa"/>
            <w:noWrap w:val="0"/>
            <w:vAlign w:val="center"/>
          </w:tcPr>
          <w:p w14:paraId="3F9A2529">
            <w:pPr>
              <w:autoSpaceDE w:val="0"/>
              <w:autoSpaceDN w:val="0"/>
              <w:adjustRightInd w:val="0"/>
              <w:rPr>
                <w:rFonts w:hint="eastAsia" w:ascii="仿宋_GB2312" w:hAnsi="宋体" w:eastAsia="仿宋_GB2312"/>
                <w:spacing w:val="-20"/>
                <w:kern w:val="0"/>
                <w:sz w:val="28"/>
                <w:szCs w:val="28"/>
              </w:rPr>
            </w:pPr>
            <w:r>
              <w:rPr>
                <w:rFonts w:hint="eastAsia" w:ascii="仿宋_GB2312" w:hAnsi="宋体" w:eastAsia="仿宋_GB2312"/>
                <w:spacing w:val="-20"/>
                <w:kern w:val="0"/>
                <w:sz w:val="28"/>
                <w:szCs w:val="28"/>
              </w:rPr>
              <w:t>日期：</w:t>
            </w:r>
          </w:p>
        </w:tc>
      </w:tr>
      <w:bookmarkEnd w:id="0"/>
    </w:tbl>
    <w:p w14:paraId="4F5C95CF"/>
    <w:sectPr>
      <w:headerReference r:id="rId3" w:type="default"/>
      <w:footerReference r:id="rId4" w:type="default"/>
      <w:pgSz w:w="11909" w:h="16841"/>
      <w:pgMar w:top="1417" w:right="1417" w:bottom="1417" w:left="1417" w:header="850" w:footer="10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1D64F9DC-5339-40C2-8708-331EFEDF8870}"/>
  </w:font>
  <w:font w:name="黑体">
    <w:panose1 w:val="02010609060101010101"/>
    <w:charset w:val="86"/>
    <w:family w:val="auto"/>
    <w:pitch w:val="default"/>
    <w:sig w:usb0="800002BF" w:usb1="38CF7CFA" w:usb2="00000016" w:usb3="00000000" w:csb0="00040001" w:csb1="00000000"/>
    <w:embedRegular r:id="rId2" w:fontKey="{D0B934CC-E7AA-4FF9-9D0D-12BA375B69B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embedRegular r:id="rId3" w:fontKey="{CB0B2215-6EDE-439D-AFAC-1B908AE42B32}"/>
  </w:font>
  <w:font w:name="仿宋_GB2312">
    <w:panose1 w:val="02010609030101010101"/>
    <w:charset w:val="86"/>
    <w:family w:val="modern"/>
    <w:pitch w:val="default"/>
    <w:sig w:usb0="00000001" w:usb1="080E0000" w:usb2="00000000" w:usb3="00000000" w:csb0="00040000" w:csb1="00000000"/>
    <w:embedRegular r:id="rId4" w:fontKey="{0723896E-C5B4-46AA-AE84-081DE09AF5F4}"/>
  </w:font>
  <w:font w:name="微软雅黑">
    <w:panose1 w:val="020B0503020204020204"/>
    <w:charset w:val="86"/>
    <w:family w:val="auto"/>
    <w:pitch w:val="default"/>
    <w:sig w:usb0="80000287" w:usb1="2ACF3C50" w:usb2="00000016" w:usb3="00000000" w:csb0="0004001F" w:csb1="00000000"/>
    <w:embedRegular r:id="rId5" w:fontKey="{4BBBA976-8527-45AD-95EE-7AFA43E982DF}"/>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23821">
    <w:pPr>
      <w:spacing w:line="14" w:lineRule="auto"/>
      <w:rPr>
        <w:rFonts w:ascii="Arial"/>
        <w:sz w:val="2"/>
      </w:rPr>
    </w:pPr>
    <w:r>
      <w:rPr>
        <w:sz w:val="2"/>
      </w:rPr>
      <w:pict>
        <v:shape id="文本框 7" o:spid="_x0000_s4097" o:spt="202" type="#_x0000_t202" style="position:absolute;left:0pt;margin-left:206.6pt;margin-top:-13.75pt;height:144pt;width:144pt;mso-position-horizontal-relative:margin;mso-wrap-style:none;z-index:251659264;mso-width-relative:page;mso-height-relative:page;" filled="f" stroked="f" coordsize="21600,21600" o:gfxdata="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MZmIR/YAAAACwEAAA8AAAAAAAAAAQAgAAAAIgAAAGRycy9kb3ducmV2Lnht&#10;bFBLAQIUABQAAAAIAIdO4kD1i4dkMgIAAGEEAAAOAAAAAAAAAAEAIAAAACcBAABkcnMvZTJvRG9j&#10;LnhtbFBLBQYAAAAABgAGAFkBAADLBQAAAAA=&#10;">
          <v:path/>
          <v:fill on="f" focussize="0,0"/>
          <v:stroke on="f" weight="0.5pt"/>
          <v:imagedata o:title=""/>
          <o:lock v:ext="edit" aspectratio="f"/>
          <v:textbox inset="0mm,0mm,0mm,0mm" style="mso-fit-shape-to-text:t;">
            <w:txbxContent>
              <w:p w14:paraId="1C6CD4D7">
                <w:pPr>
                  <w:pStyle w:val="2"/>
                  <w:tabs>
                    <w:tab w:val="center" w:pos="4153"/>
                    <w:tab w:val="right" w:pos="8306"/>
                    <w:tab w:val="clear" w:pos="4140"/>
                    <w:tab w:val="clear" w:pos="8300"/>
                  </w:tabs>
                </w:pPr>
                <w:r>
                  <w:rPr>
                    <w:sz w:val="21"/>
                    <w:szCs w:val="21"/>
                  </w:rPr>
                  <w:t xml:space="preserve">第 </w:t>
                </w:r>
                <w:r>
                  <w:rPr>
                    <w:sz w:val="21"/>
                    <w:szCs w:val="21"/>
                  </w:rPr>
                  <w:fldChar w:fldCharType="begin"/>
                </w:r>
                <w:r>
                  <w:rPr>
                    <w:sz w:val="21"/>
                    <w:szCs w:val="21"/>
                  </w:rPr>
                  <w:instrText xml:space="preserve"> PAGE  \* MERGEFORMAT </w:instrText>
                </w:r>
                <w:r>
                  <w:rPr>
                    <w:sz w:val="21"/>
                    <w:szCs w:val="21"/>
                  </w:rPr>
                  <w:fldChar w:fldCharType="separate"/>
                </w:r>
                <w:r>
                  <w:rPr>
                    <w:sz w:val="21"/>
                    <w:szCs w:val="21"/>
                  </w:rPr>
                  <w:t>53</w:t>
                </w:r>
                <w:r>
                  <w:rPr>
                    <w:sz w:val="21"/>
                    <w:szCs w:val="21"/>
                  </w:rPr>
                  <w:fldChar w:fldCharType="end"/>
                </w:r>
                <w:r>
                  <w:rPr>
                    <w:sz w:val="21"/>
                    <w:szCs w:val="21"/>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9A005">
    <w:pPr>
      <w:spacing w:line="14" w:lineRule="auto"/>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18"/>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WMxNWU5MTM1NDJhMzM3NzZlNjAyMmRiMjcyMmY4OWYifQ=="/>
  </w:docVars>
  <w:rsids>
    <w:rsidRoot w:val="29BB6BC2"/>
    <w:rsid w:val="00032C77"/>
    <w:rsid w:val="0005444A"/>
    <w:rsid w:val="00055484"/>
    <w:rsid w:val="00146234"/>
    <w:rsid w:val="00196F8D"/>
    <w:rsid w:val="002134F5"/>
    <w:rsid w:val="002A2C9E"/>
    <w:rsid w:val="00301B8C"/>
    <w:rsid w:val="00333158"/>
    <w:rsid w:val="00366B06"/>
    <w:rsid w:val="005C205E"/>
    <w:rsid w:val="00680F55"/>
    <w:rsid w:val="006B2966"/>
    <w:rsid w:val="006E04B8"/>
    <w:rsid w:val="007377F8"/>
    <w:rsid w:val="008B1E38"/>
    <w:rsid w:val="009015B2"/>
    <w:rsid w:val="00AD6F4F"/>
    <w:rsid w:val="00B35765"/>
    <w:rsid w:val="00C65FC8"/>
    <w:rsid w:val="00CC3A78"/>
    <w:rsid w:val="00CF6641"/>
    <w:rsid w:val="00EF3803"/>
    <w:rsid w:val="00F47186"/>
    <w:rsid w:val="00FA5ACA"/>
    <w:rsid w:val="00FC1B97"/>
    <w:rsid w:val="02680F16"/>
    <w:rsid w:val="04BD7D66"/>
    <w:rsid w:val="071938B9"/>
    <w:rsid w:val="0CF24C32"/>
    <w:rsid w:val="0EBB3568"/>
    <w:rsid w:val="0EC60B07"/>
    <w:rsid w:val="10332904"/>
    <w:rsid w:val="10CF4970"/>
    <w:rsid w:val="10F63A27"/>
    <w:rsid w:val="172B4FA4"/>
    <w:rsid w:val="192A37C4"/>
    <w:rsid w:val="198577DD"/>
    <w:rsid w:val="19966094"/>
    <w:rsid w:val="1CA80820"/>
    <w:rsid w:val="1D6E70FD"/>
    <w:rsid w:val="21665943"/>
    <w:rsid w:val="244871F4"/>
    <w:rsid w:val="25295AB7"/>
    <w:rsid w:val="274E2D73"/>
    <w:rsid w:val="27EF733B"/>
    <w:rsid w:val="28961ECA"/>
    <w:rsid w:val="292902AA"/>
    <w:rsid w:val="29BB6BC2"/>
    <w:rsid w:val="2E8932C7"/>
    <w:rsid w:val="2F1025C8"/>
    <w:rsid w:val="30104537"/>
    <w:rsid w:val="313868D1"/>
    <w:rsid w:val="325B49C3"/>
    <w:rsid w:val="326A7D77"/>
    <w:rsid w:val="33EF3E56"/>
    <w:rsid w:val="39094D4C"/>
    <w:rsid w:val="3C535AAA"/>
    <w:rsid w:val="3CCE5611"/>
    <w:rsid w:val="3CE71A85"/>
    <w:rsid w:val="412A6A1E"/>
    <w:rsid w:val="412F6352"/>
    <w:rsid w:val="414032D5"/>
    <w:rsid w:val="4EC118A7"/>
    <w:rsid w:val="4FD85C88"/>
    <w:rsid w:val="4FDA2485"/>
    <w:rsid w:val="54F63A8A"/>
    <w:rsid w:val="5C7E1FD1"/>
    <w:rsid w:val="5D3B49BA"/>
    <w:rsid w:val="60E414E6"/>
    <w:rsid w:val="61DE6FB3"/>
    <w:rsid w:val="61E5759F"/>
    <w:rsid w:val="696F3399"/>
    <w:rsid w:val="6C351B4D"/>
    <w:rsid w:val="734E36BE"/>
    <w:rsid w:val="736126B3"/>
    <w:rsid w:val="741C09D0"/>
    <w:rsid w:val="74343D24"/>
    <w:rsid w:val="764F97C9"/>
    <w:rsid w:val="78C53AE4"/>
    <w:rsid w:val="7C9A4DB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39"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4"/>
    <w:basedOn w:val="1"/>
    <w:next w:val="1"/>
    <w:qFormat/>
    <w:uiPriority w:val="9"/>
    <w:pPr>
      <w:keepNext/>
      <w:keepLines/>
      <w:spacing w:before="280" w:after="290" w:line="372" w:lineRule="auto"/>
      <w:outlineLvl w:val="3"/>
    </w:pPr>
    <w:rPr>
      <w:rFonts w:ascii="Arial" w:hAnsi="Arial" w:cs="Times New Roman"/>
      <w:b/>
      <w:sz w:val="28"/>
    </w:rPr>
  </w:style>
  <w:style w:type="character" w:default="1" w:styleId="16">
    <w:name w:val="Default Paragraph Font"/>
    <w:semiHidden/>
    <w:unhideWhenUsed/>
    <w:qFormat/>
    <w:uiPriority w:val="1"/>
  </w:style>
  <w:style w:type="table" w:default="1" w:styleId="1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next w:val="3"/>
    <w:autoRedefine/>
    <w:qFormat/>
    <w:uiPriority w:val="0"/>
    <w:pPr>
      <w:tabs>
        <w:tab w:val="center" w:pos="4140"/>
        <w:tab w:val="right" w:pos="8300"/>
      </w:tabs>
      <w:snapToGrid w:val="0"/>
      <w:jc w:val="left"/>
    </w:pPr>
    <w:rPr>
      <w:sz w:val="18"/>
      <w:szCs w:val="18"/>
    </w:rPr>
  </w:style>
  <w:style w:type="paragraph" w:styleId="3">
    <w:name w:val="toc 8"/>
    <w:basedOn w:val="1"/>
    <w:next w:val="1"/>
    <w:qFormat/>
    <w:uiPriority w:val="39"/>
    <w:pPr>
      <w:ind w:left="2940" w:leftChars="1400"/>
    </w:pPr>
    <w:rPr>
      <w:szCs w:val="24"/>
    </w:rPr>
  </w:style>
  <w:style w:type="paragraph" w:styleId="5">
    <w:name w:val="Normal Indent"/>
    <w:basedOn w:val="1"/>
    <w:autoRedefine/>
    <w:qFormat/>
    <w:uiPriority w:val="0"/>
    <w:pPr>
      <w:ind w:firstLine="420"/>
    </w:pPr>
    <w:rPr>
      <w:szCs w:val="21"/>
    </w:rPr>
  </w:style>
  <w:style w:type="paragraph" w:styleId="6">
    <w:name w:val="annotation text"/>
    <w:basedOn w:val="1"/>
    <w:autoRedefine/>
    <w:qFormat/>
    <w:uiPriority w:val="0"/>
    <w:pPr>
      <w:jc w:val="left"/>
    </w:pPr>
  </w:style>
  <w:style w:type="paragraph" w:styleId="7">
    <w:name w:val="Body Text"/>
    <w:basedOn w:val="1"/>
    <w:next w:val="1"/>
    <w:autoRedefine/>
    <w:qFormat/>
    <w:uiPriority w:val="99"/>
    <w:pPr>
      <w:jc w:val="left"/>
    </w:pPr>
    <w:rPr>
      <w:kern w:val="0"/>
    </w:rPr>
  </w:style>
  <w:style w:type="paragraph" w:styleId="8">
    <w:name w:val="Plain Text"/>
    <w:basedOn w:val="1"/>
    <w:autoRedefine/>
    <w:qFormat/>
    <w:uiPriority w:val="0"/>
    <w:rPr>
      <w:rFonts w:ascii="宋体" w:hAnsi="Courier New"/>
      <w:kern w:val="0"/>
      <w:sz w:val="20"/>
    </w:rPr>
  </w:style>
  <w:style w:type="paragraph" w:styleId="9">
    <w:name w:val="Balloon Text"/>
    <w:basedOn w:val="1"/>
    <w:link w:val="21"/>
    <w:autoRedefine/>
    <w:qFormat/>
    <w:uiPriority w:val="0"/>
    <w:rPr>
      <w:sz w:val="18"/>
      <w:szCs w:val="18"/>
    </w:rPr>
  </w:style>
  <w:style w:type="paragraph" w:styleId="10">
    <w:name w:val="header"/>
    <w:basedOn w:val="1"/>
    <w:link w:val="20"/>
    <w:autoRedefine/>
    <w:qFormat/>
    <w:uiPriority w:val="0"/>
    <w:pPr>
      <w:pBdr>
        <w:bottom w:val="single" w:color="auto" w:sz="6" w:space="1"/>
      </w:pBdr>
      <w:tabs>
        <w:tab w:val="center" w:pos="4153"/>
        <w:tab w:val="right" w:pos="8306"/>
      </w:tabs>
      <w:snapToGrid w:val="0"/>
      <w:jc w:val="center"/>
    </w:pPr>
    <w:rPr>
      <w:sz w:val="18"/>
      <w:szCs w:val="18"/>
    </w:rPr>
  </w:style>
  <w:style w:type="paragraph" w:styleId="11">
    <w:name w:val="Message Header"/>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12">
    <w:name w:val="Normal (Web)"/>
    <w:basedOn w:val="1"/>
    <w:autoRedefine/>
    <w:qFormat/>
    <w:uiPriority w:val="99"/>
    <w:pPr>
      <w:widowControl/>
      <w:spacing w:before="100" w:beforeAutospacing="1" w:after="100" w:afterAutospacing="1"/>
      <w:jc w:val="left"/>
    </w:pPr>
    <w:rPr>
      <w:rFonts w:ascii="宋体" w:cs="宋体"/>
      <w:kern w:val="0"/>
      <w:sz w:val="24"/>
      <w:szCs w:val="24"/>
    </w:rPr>
  </w:style>
  <w:style w:type="paragraph" w:styleId="13">
    <w:name w:val="Body Text First Indent"/>
    <w:basedOn w:val="7"/>
    <w:autoRedefine/>
    <w:qFormat/>
    <w:uiPriority w:val="0"/>
    <w:pPr>
      <w:spacing w:line="360" w:lineRule="auto"/>
      <w:ind w:firstLine="420"/>
    </w:pPr>
    <w:rPr>
      <w:rFonts w:ascii="宋体" w:hAnsi="宋体"/>
      <w:sz w:val="24"/>
    </w:rPr>
  </w:style>
  <w:style w:type="table" w:styleId="15">
    <w:name w:val="Table Grid"/>
    <w:basedOn w:val="1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annotation reference"/>
    <w:basedOn w:val="16"/>
    <w:autoRedefine/>
    <w:qFormat/>
    <w:uiPriority w:val="0"/>
    <w:rPr>
      <w:sz w:val="21"/>
      <w:szCs w:val="21"/>
    </w:rPr>
  </w:style>
  <w:style w:type="paragraph" w:customStyle="1" w:styleId="18">
    <w:name w:val="标题 5（有编号）（绿盟科技）"/>
    <w:basedOn w:val="1"/>
    <w:next w:val="19"/>
    <w:qFormat/>
    <w:uiPriority w:val="0"/>
    <w:pPr>
      <w:keepNext/>
      <w:keepLines/>
      <w:numPr>
        <w:ilvl w:val="4"/>
        <w:numId w:val="1"/>
      </w:numPr>
      <w:spacing w:before="280" w:after="156" w:line="377" w:lineRule="auto"/>
      <w:jc w:val="left"/>
      <w:outlineLvl w:val="4"/>
    </w:pPr>
    <w:rPr>
      <w:rFonts w:ascii="Arial" w:hAnsi="Arial" w:eastAsia="黑体" w:cs="黑体"/>
      <w:b/>
      <w:kern w:val="0"/>
      <w:sz w:val="24"/>
      <w:szCs w:val="28"/>
    </w:rPr>
  </w:style>
  <w:style w:type="paragraph" w:customStyle="1" w:styleId="19">
    <w:name w:val="正文（绿盟科技）"/>
    <w:qFormat/>
    <w:uiPriority w:val="0"/>
    <w:pPr>
      <w:spacing w:line="300" w:lineRule="auto"/>
    </w:pPr>
    <w:rPr>
      <w:rFonts w:ascii="Arial" w:hAnsi="Arial" w:eastAsia="宋体" w:cs="黑体"/>
      <w:sz w:val="21"/>
      <w:szCs w:val="21"/>
      <w:lang w:val="en-US" w:eastAsia="zh-CN" w:bidi="ar-SA"/>
    </w:rPr>
  </w:style>
  <w:style w:type="character" w:customStyle="1" w:styleId="20">
    <w:name w:val="页眉 Char"/>
    <w:basedOn w:val="16"/>
    <w:link w:val="10"/>
    <w:autoRedefine/>
    <w:qFormat/>
    <w:uiPriority w:val="0"/>
    <w:rPr>
      <w:kern w:val="2"/>
      <w:sz w:val="18"/>
      <w:szCs w:val="18"/>
    </w:rPr>
  </w:style>
  <w:style w:type="character" w:customStyle="1" w:styleId="21">
    <w:name w:val="批注框文本 Char"/>
    <w:basedOn w:val="16"/>
    <w:link w:val="9"/>
    <w:autoRedefine/>
    <w:qFormat/>
    <w:uiPriority w:val="0"/>
    <w:rPr>
      <w:kern w:val="2"/>
      <w:sz w:val="18"/>
      <w:szCs w:val="18"/>
    </w:rPr>
  </w:style>
  <w:style w:type="paragraph" w:customStyle="1" w:styleId="22">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正文空2格  1."/>
    <w:basedOn w:val="1"/>
    <w:autoRedefine/>
    <w:qFormat/>
    <w:uiPriority w:val="0"/>
    <w:pPr>
      <w:adjustRightInd w:val="0"/>
      <w:spacing w:line="360" w:lineRule="auto"/>
      <w:ind w:firstLine="480" w:firstLineChars="200"/>
    </w:pPr>
    <w:rPr>
      <w:rFonts w:hint="eastAsia" w:ascii="宋体" w:eastAsia="仿宋" w:cs="宋体"/>
      <w:kern w:val="0"/>
      <w:sz w:val="28"/>
    </w:rPr>
  </w:style>
  <w:style w:type="paragraph" w:customStyle="1" w:styleId="24">
    <w:name w:val="Default1"/>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2270</Words>
  <Characters>2345</Characters>
  <Lines>23</Lines>
  <Paragraphs>6</Paragraphs>
  <TotalTime>1</TotalTime>
  <ScaleCrop>false</ScaleCrop>
  <LinksUpToDate>false</LinksUpToDate>
  <CharactersWithSpaces>2426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2022-09-28T14:56:00Z</dcterms:created>
  <dc:creator>独舞的蒲公英</dc:creator>
  <cp:lastModifiedBy>意念之差</cp:lastModifiedBy>
  <cp:lastPrinted>2022-09-28T14:56:00Z</cp:lastPrinted>
  <dcterms:modified xsi:type="dcterms:W3CDTF">2025-07-22T11:22:30Z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E79E879024B94D3FB100E7468F0D228F</vt:lpwstr>
  </property>
  <property fmtid="{D5CDD505-2E9C-101B-9397-08002B2CF9AE}" pid="4" name="KSOTemplateDocerSaveRecord">
    <vt:lpwstr>eyJoZGlkIjoiYjkyZWNlNTNlMmJlNGE2NGM1MDg1Yjk1MzdjNjEwZDkiLCJ1c2VySWQiOiI0OTc1NzUzMzUifQ==</vt:lpwstr>
  </property>
</Properties>
</file>