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版本号：0730-2523XA0013.1B120250722001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通勤车服务(二次)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0730-2523XA0013.1B1</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中航技国际经贸发展有限公司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中航技国际经贸发展有限公司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通勤车服务(二次)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0730-2523XA0013.1B1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通勤车服务(二次)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为满足医院工作人员通勤及患者就医出行方便（西门院区-经开院区；元朔地铁口-经开院区）摆渡车需求。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采购包1（通勤车服务）：属于专门面向中小企业采购。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经审计的财务报告（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 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8、非联合体磋商：提供非联合体磋商承诺函。</w:t>
      </w:r>
    </w:p>
    <w:p>
      <w:pPr>
        <w:pStyle w:val="null3"/>
      </w:pPr>
      <w:r>
        <w:rPr>
          <w:rFonts w:ascii="仿宋_GB2312" w:hAnsi="仿宋_GB2312" w:cs="仿宋_GB2312" w:eastAsia="仿宋_GB2312"/>
        </w:rPr>
        <w:t>9、特定资格：提供《道路运输经营许可证》或道路运输经营备案手续。</w:t>
      </w:r>
    </w:p>
    <w:p>
      <w:pPr>
        <w:pStyle w:val="null3"/>
      </w:pPr>
      <w:r>
        <w:rPr>
          <w:rFonts w:ascii="仿宋_GB2312" w:hAnsi="仿宋_GB2312" w:cs="仿宋_GB2312" w:eastAsia="仿宋_GB2312"/>
        </w:rPr>
        <w:t>10、不存在与单位负责人为同一人或者存在直接控股、管理关系的其他供应商参与同一合同项下的政府采购活动的行为：供应商需在项目电子化交易系统中按要求填写《投标（响应）函》完成承诺并进行电子签章。</w:t>
      </w:r>
    </w:p>
    <w:p>
      <w:pPr>
        <w:pStyle w:val="null3"/>
      </w:pPr>
      <w:r>
        <w:rPr>
          <w:rFonts w:ascii="仿宋_GB2312" w:hAnsi="仿宋_GB2312" w:cs="仿宋_GB2312" w:eastAsia="仿宋_GB2312"/>
        </w:rPr>
        <w:t>11、中小企业声明函：本项目专门面向中小企业采购，供应商须提供中小企业声明函。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西安市儿童医院招标办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中航技国际经贸发展有限公司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西安市雁塔区科创路168号商贸楼3楼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王小龙、王璐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17801237875、13572221073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1、代理服务费金额：代理服务费以成交价格为计算基数，参照国家发展计划委员会计价格[2002]1980号文件及国家发展和改革委员会办公厅颁发的《关于招标代理服务收费有关问题的通知》（发改价格[2011]534号）规定的服务类标准的80%进行收取。具体收费金额在成交公告中公布。 2、代理服务费支付时间及方式：由成交供应商在领取《成交通知书》前通过银行转账方式向受托人一次性支付代理服务费，采购代理机构收到服务费后向成交供应商开具全额发票。 3、代理服务费缴纳账户信息： 户名：中航技国际经贸发展有限公司西安分公司 开户行名称：招商银行西安分行营业部 账号：129904890510601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中航技国际经贸发展有限公司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中航技国际经贸发展有限公司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中航技国际经贸发展有限公司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中航技国际经贸发展有限公司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中航技国际经贸发展有限公司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中航技国际经贸发展有限公司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联系人：王璐</w:t>
      </w:r>
    </w:p>
    <w:p>
      <w:pPr>
        <w:pStyle w:val="null3"/>
      </w:pPr>
      <w:r>
        <w:rPr>
          <w:rFonts w:ascii="仿宋_GB2312" w:hAnsi="仿宋_GB2312" w:cs="仿宋_GB2312" w:eastAsia="仿宋_GB2312"/>
        </w:rPr>
        <w:t>联系电话：13572221073</w:t>
      </w:r>
    </w:p>
    <w:p>
      <w:pPr>
        <w:pStyle w:val="null3"/>
      </w:pPr>
      <w:r>
        <w:rPr>
          <w:rFonts w:ascii="仿宋_GB2312" w:hAnsi="仿宋_GB2312" w:cs="仿宋_GB2312" w:eastAsia="仿宋_GB2312"/>
        </w:rPr>
        <w:t>地址：西安市雁塔区科创路168号商贸楼3楼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为满足医院工作人员通勤及患者就医出行方便（西门院区-经开院区；元朔地铁口-经开院区）摆渡车需求。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通勤车服务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标的名称：通勤车服务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 xml:space="preserve">1. </w:t>
            </w:r>
            <w:r>
              <w:rPr>
                <w:rFonts w:ascii="仿宋_GB2312" w:hAnsi="仿宋_GB2312" w:cs="仿宋_GB2312" w:eastAsia="仿宋_GB2312"/>
                <w:sz w:val="24"/>
                <w:color w:val="000000"/>
              </w:rPr>
              <w:t>采购项目概况</w:t>
            </w:r>
          </w:p>
          <w:p>
            <w:pPr>
              <w:pStyle w:val="null3"/>
            </w:pPr>
            <w:r>
              <w:rPr>
                <w:rFonts w:ascii="仿宋_GB2312" w:hAnsi="仿宋_GB2312" w:cs="仿宋_GB2312" w:eastAsia="仿宋_GB2312"/>
                <w:sz w:val="24"/>
                <w:color w:val="000000"/>
              </w:rPr>
              <w:t>为满足医院工作人员通勤及患者就医出行方便（西门院区</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经开院区；元朔地铁口</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经开院区）摆渡车需求。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 xml:space="preserve">2. </w:t>
            </w:r>
            <w:r>
              <w:rPr>
                <w:rFonts w:ascii="仿宋_GB2312" w:hAnsi="仿宋_GB2312" w:cs="仿宋_GB2312" w:eastAsia="仿宋_GB2312"/>
                <w:sz w:val="24"/>
                <w:color w:val="000000"/>
              </w:rPr>
              <w:t>服务内容及服务要求</w:t>
            </w:r>
          </w:p>
          <w:p>
            <w:pPr>
              <w:pStyle w:val="null3"/>
              <w:jc w:val="both"/>
            </w:pPr>
            <w:r>
              <w:rPr>
                <w:rFonts w:ascii="仿宋_GB2312" w:hAnsi="仿宋_GB2312" w:cs="仿宋_GB2312" w:eastAsia="仿宋_GB2312"/>
                <w:sz w:val="24"/>
                <w:b/>
                <w:color w:val="000000"/>
              </w:rPr>
              <w:t xml:space="preserve">2.1 </w:t>
            </w:r>
            <w:r>
              <w:rPr>
                <w:rFonts w:ascii="仿宋_GB2312" w:hAnsi="仿宋_GB2312" w:cs="仿宋_GB2312" w:eastAsia="仿宋_GB2312"/>
                <w:sz w:val="24"/>
                <w:color w:val="000000"/>
              </w:rPr>
              <w:t>服务内容</w:t>
            </w:r>
          </w:p>
          <w:p>
            <w:pPr>
              <w:pStyle w:val="null3"/>
              <w:ind w:firstLine="480"/>
              <w:jc w:val="both"/>
            </w:pPr>
            <w:r>
              <w:rPr>
                <w:rFonts w:ascii="仿宋_GB2312" w:hAnsi="仿宋_GB2312" w:cs="仿宋_GB2312" w:eastAsia="仿宋_GB2312"/>
                <w:sz w:val="24"/>
                <w:color w:val="000000"/>
              </w:rPr>
              <w:t>项目名称：通勤车</w:t>
            </w:r>
            <w:r>
              <w:rPr>
                <w:rFonts w:ascii="仿宋_GB2312" w:hAnsi="仿宋_GB2312" w:cs="仿宋_GB2312" w:eastAsia="仿宋_GB2312"/>
                <w:sz w:val="24"/>
                <w:color w:val="000000"/>
              </w:rPr>
              <w:t>服务</w:t>
            </w:r>
          </w:p>
          <w:p>
            <w:pPr>
              <w:pStyle w:val="null3"/>
              <w:ind w:firstLine="480"/>
              <w:jc w:val="both"/>
            </w:pPr>
            <w:r>
              <w:rPr>
                <w:rFonts w:ascii="仿宋_GB2312" w:hAnsi="仿宋_GB2312" w:cs="仿宋_GB2312" w:eastAsia="仿宋_GB2312"/>
                <w:sz w:val="24"/>
                <w:color w:val="000000"/>
              </w:rPr>
              <w:t>项目编号：</w:t>
            </w:r>
            <w:r>
              <w:rPr>
                <w:rFonts w:ascii="仿宋_GB2312" w:hAnsi="仿宋_GB2312" w:cs="仿宋_GB2312" w:eastAsia="仿宋_GB2312"/>
                <w:sz w:val="24"/>
                <w:color w:val="000000"/>
              </w:rPr>
              <w:t>0730-2523XA0013</w:t>
            </w:r>
          </w:p>
          <w:p>
            <w:pPr>
              <w:pStyle w:val="null3"/>
              <w:ind w:firstLine="480"/>
              <w:jc w:val="both"/>
            </w:pPr>
            <w:r>
              <w:rPr>
                <w:rFonts w:ascii="仿宋_GB2312" w:hAnsi="仿宋_GB2312" w:cs="仿宋_GB2312" w:eastAsia="仿宋_GB2312"/>
                <w:sz w:val="24"/>
                <w:color w:val="000000"/>
              </w:rPr>
              <w:t>采购包预算金额（元）</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63</w:t>
            </w:r>
            <w:r>
              <w:rPr>
                <w:rFonts w:ascii="仿宋_GB2312" w:hAnsi="仿宋_GB2312" w:cs="仿宋_GB2312" w:eastAsia="仿宋_GB2312"/>
                <w:sz w:val="24"/>
                <w:color w:val="000000"/>
              </w:rPr>
              <w:t>0,000.00</w:t>
            </w:r>
          </w:p>
          <w:p>
            <w:pPr>
              <w:pStyle w:val="null3"/>
              <w:ind w:firstLine="480"/>
              <w:jc w:val="both"/>
            </w:pPr>
            <w:r>
              <w:rPr>
                <w:rFonts w:ascii="仿宋_GB2312" w:hAnsi="仿宋_GB2312" w:cs="仿宋_GB2312" w:eastAsia="仿宋_GB2312"/>
                <w:sz w:val="24"/>
                <w:color w:val="000000"/>
              </w:rPr>
              <w:t>采购包单项最高限价（元）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中型客车</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座</w:t>
            </w:r>
            <w:r>
              <w:rPr>
                <w:rFonts w:ascii="仿宋_GB2312" w:hAnsi="仿宋_GB2312" w:cs="仿宋_GB2312" w:eastAsia="仿宋_GB2312"/>
                <w:sz w:val="24"/>
                <w:color w:val="000000"/>
              </w:rPr>
              <w:t>）</w:t>
            </w:r>
            <w:r>
              <w:rPr>
                <w:rFonts w:ascii="仿宋_GB2312" w:hAnsi="仿宋_GB2312" w:cs="仿宋_GB2312" w:eastAsia="仿宋_GB2312"/>
                <w:sz w:val="24"/>
                <w:color w:val="000000"/>
              </w:rPr>
              <w:t>车型服务费最高限价</w:t>
            </w:r>
            <w:r>
              <w:rPr>
                <w:rFonts w:ascii="仿宋_GB2312" w:hAnsi="仿宋_GB2312" w:cs="仿宋_GB2312" w:eastAsia="仿宋_GB2312"/>
                <w:sz w:val="24"/>
                <w:color w:val="000000"/>
              </w:rPr>
              <w:t>750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日</w:t>
            </w:r>
          </w:p>
          <w:p>
            <w:pPr>
              <w:pStyle w:val="null3"/>
              <w:ind w:firstLine="480"/>
              <w:jc w:val="both"/>
            </w:pPr>
            <w:r>
              <w:rPr>
                <w:rFonts w:ascii="仿宋_GB2312" w:hAnsi="仿宋_GB2312" w:cs="仿宋_GB2312" w:eastAsia="仿宋_GB2312"/>
                <w:sz w:val="24"/>
                <w:color w:val="000000"/>
              </w:rPr>
              <w:t>大型客车（</w:t>
            </w:r>
            <w:r>
              <w:rPr>
                <w:rFonts w:ascii="仿宋_GB2312" w:hAnsi="仿宋_GB2312" w:cs="仿宋_GB2312" w:eastAsia="仿宋_GB2312"/>
                <w:sz w:val="24"/>
                <w:color w:val="000000"/>
              </w:rPr>
              <w:t>54</w:t>
            </w:r>
            <w:r>
              <w:rPr>
                <w:rFonts w:ascii="仿宋_GB2312" w:hAnsi="仿宋_GB2312" w:cs="仿宋_GB2312" w:eastAsia="仿宋_GB2312"/>
                <w:sz w:val="24"/>
                <w:color w:val="000000"/>
              </w:rPr>
              <w:t>座）车型服务费最高限价</w:t>
            </w:r>
            <w:r>
              <w:rPr>
                <w:rFonts w:ascii="仿宋_GB2312" w:hAnsi="仿宋_GB2312" w:cs="仿宋_GB2312" w:eastAsia="仿宋_GB2312"/>
                <w:sz w:val="24"/>
                <w:color w:val="000000"/>
              </w:rPr>
              <w:t>850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日</w:t>
            </w:r>
          </w:p>
          <w:p>
            <w:pPr>
              <w:pStyle w:val="null3"/>
              <w:ind w:firstLine="480"/>
              <w:jc w:val="both"/>
            </w:pPr>
            <w:r>
              <w:rPr>
                <w:rFonts w:ascii="仿宋_GB2312" w:hAnsi="仿宋_GB2312" w:cs="仿宋_GB2312" w:eastAsia="仿宋_GB2312"/>
                <w:sz w:val="24"/>
                <w:color w:val="000000"/>
              </w:rPr>
              <w:t>供应商报价单价不允许超过标的最高单项限价金额</w:t>
            </w:r>
          </w:p>
          <w:p>
            <w:pPr>
              <w:pStyle w:val="null3"/>
              <w:jc w:val="both"/>
            </w:pPr>
            <w:r>
              <w:rPr>
                <w:rFonts w:ascii="仿宋_GB2312" w:hAnsi="仿宋_GB2312" w:cs="仿宋_GB2312" w:eastAsia="仿宋_GB2312"/>
                <w:sz w:val="24"/>
                <w:b/>
                <w:color w:val="000000"/>
              </w:rPr>
              <w:t xml:space="preserve">2.2 </w:t>
            </w:r>
            <w:r>
              <w:rPr>
                <w:rFonts w:ascii="仿宋_GB2312" w:hAnsi="仿宋_GB2312" w:cs="仿宋_GB2312" w:eastAsia="仿宋_GB2312"/>
                <w:sz w:val="24"/>
                <w:color w:val="000000"/>
              </w:rPr>
              <w:t>服务要求</w:t>
            </w:r>
          </w:p>
          <w:p>
            <w:pPr>
              <w:pStyle w:val="null3"/>
              <w:ind w:firstLine="482"/>
              <w:jc w:val="both"/>
            </w:pPr>
            <w:r>
              <w:rPr>
                <w:rFonts w:ascii="仿宋_GB2312" w:hAnsi="仿宋_GB2312" w:cs="仿宋_GB2312" w:eastAsia="仿宋_GB2312"/>
                <w:sz w:val="24"/>
                <w:b/>
                <w:color w:val="000000"/>
              </w:rPr>
              <w:t xml:space="preserve">2.2.1 </w:t>
            </w:r>
            <w:r>
              <w:rPr>
                <w:rFonts w:ascii="仿宋_GB2312" w:hAnsi="仿宋_GB2312" w:cs="仿宋_GB2312" w:eastAsia="仿宋_GB2312"/>
                <w:sz w:val="24"/>
                <w:color w:val="000000"/>
              </w:rPr>
              <w:t>服务内容、要求、质量：</w:t>
            </w:r>
          </w:p>
          <w:p>
            <w:pPr>
              <w:pStyle w:val="null3"/>
              <w:ind w:firstLine="482"/>
              <w:jc w:val="both"/>
            </w:pPr>
            <w:r>
              <w:rPr>
                <w:rFonts w:ascii="仿宋_GB2312" w:hAnsi="仿宋_GB2312" w:cs="仿宋_GB2312" w:eastAsia="仿宋_GB2312"/>
                <w:sz w:val="24"/>
                <w:b/>
                <w:color w:val="000000"/>
              </w:rPr>
              <w:t>2.2.1.1</w:t>
            </w:r>
            <w:r>
              <w:rPr>
                <w:rFonts w:ascii="仿宋_GB2312" w:hAnsi="仿宋_GB2312" w:cs="仿宋_GB2312" w:eastAsia="仿宋_GB2312"/>
                <w:sz w:val="24"/>
                <w:color w:val="000000"/>
              </w:rPr>
              <w:t>员工通勤班车及患者就诊摆渡车服务，单车每天行驶</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90</w:t>
            </w:r>
            <w:r>
              <w:rPr>
                <w:rFonts w:ascii="仿宋_GB2312" w:hAnsi="仿宋_GB2312" w:cs="仿宋_GB2312" w:eastAsia="仿宋_GB2312"/>
                <w:sz w:val="24"/>
                <w:color w:val="000000"/>
              </w:rPr>
              <w:t>公里。</w:t>
            </w:r>
          </w:p>
          <w:p>
            <w:pPr>
              <w:pStyle w:val="null3"/>
              <w:ind w:firstLine="482"/>
              <w:jc w:val="both"/>
            </w:pPr>
            <w:r>
              <w:rPr>
                <w:rFonts w:ascii="仿宋_GB2312" w:hAnsi="仿宋_GB2312" w:cs="仿宋_GB2312" w:eastAsia="仿宋_GB2312"/>
                <w:sz w:val="24"/>
                <w:b/>
                <w:color w:val="000000"/>
              </w:rPr>
              <w:t>2.2.1.2</w:t>
            </w:r>
            <w:r>
              <w:rPr>
                <w:rFonts w:ascii="仿宋_GB2312" w:hAnsi="仿宋_GB2312" w:cs="仿宋_GB2312" w:eastAsia="仿宋_GB2312"/>
                <w:sz w:val="24"/>
                <w:color w:val="000000"/>
              </w:rPr>
              <w:t>为满足医院工作人员通勤及患者就医出行方便（西门院区</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经开院区；元朔地铁口</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经开院区）每天不少于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个往返的用车需求。）用车，以及院方一切临时用车的需求，上下车地点由医院指定。</w:t>
            </w:r>
          </w:p>
          <w:p>
            <w:pPr>
              <w:pStyle w:val="null3"/>
              <w:ind w:firstLine="482"/>
              <w:jc w:val="both"/>
            </w:pPr>
            <w:r>
              <w:rPr>
                <w:rFonts w:ascii="仿宋_GB2312" w:hAnsi="仿宋_GB2312" w:cs="仿宋_GB2312" w:eastAsia="仿宋_GB2312"/>
                <w:sz w:val="24"/>
                <w:b/>
                <w:color w:val="000000"/>
              </w:rPr>
              <w:t>2.2.1.3</w:t>
            </w:r>
            <w:r>
              <w:rPr>
                <w:rFonts w:ascii="仿宋_GB2312" w:hAnsi="仿宋_GB2312" w:cs="仿宋_GB2312" w:eastAsia="仿宋_GB2312"/>
                <w:sz w:val="24"/>
                <w:color w:val="000000"/>
              </w:rPr>
              <w:t>具有中华人民共和国道路运输经营许可证。</w:t>
            </w:r>
          </w:p>
          <w:p>
            <w:pPr>
              <w:pStyle w:val="null3"/>
              <w:ind w:firstLine="482"/>
              <w:jc w:val="both"/>
            </w:pPr>
            <w:r>
              <w:rPr>
                <w:rFonts w:ascii="仿宋_GB2312" w:hAnsi="仿宋_GB2312" w:cs="仿宋_GB2312" w:eastAsia="仿宋_GB2312"/>
                <w:sz w:val="24"/>
                <w:b/>
                <w:color w:val="000000"/>
              </w:rPr>
              <w:t xml:space="preserve">2.2.2 </w:t>
            </w:r>
            <w:r>
              <w:rPr>
                <w:rFonts w:ascii="仿宋_GB2312" w:hAnsi="仿宋_GB2312" w:cs="仿宋_GB2312" w:eastAsia="仿宋_GB2312"/>
                <w:sz w:val="24"/>
                <w:color w:val="000000"/>
              </w:rPr>
              <w:t>交付成果：</w:t>
            </w:r>
          </w:p>
          <w:p>
            <w:pPr>
              <w:pStyle w:val="null3"/>
              <w:ind w:firstLine="482"/>
              <w:jc w:val="both"/>
            </w:pPr>
            <w:r>
              <w:rPr>
                <w:rFonts w:ascii="仿宋_GB2312" w:hAnsi="仿宋_GB2312" w:cs="仿宋_GB2312" w:eastAsia="仿宋_GB2312"/>
                <w:sz w:val="24"/>
                <w:b/>
                <w:color w:val="000000"/>
              </w:rPr>
              <w:t xml:space="preserve">2.2.2.1  </w:t>
            </w:r>
            <w:r>
              <w:rPr>
                <w:rFonts w:ascii="仿宋_GB2312" w:hAnsi="仿宋_GB2312" w:cs="仿宋_GB2312" w:eastAsia="仿宋_GB2312"/>
                <w:sz w:val="24"/>
                <w:color w:val="000000"/>
              </w:rPr>
              <w:t>五年内营运车辆（以车辆行驶证注册之日起计算，不得超过五年）</w:t>
            </w:r>
          </w:p>
          <w:p>
            <w:pPr>
              <w:pStyle w:val="null3"/>
            </w:pPr>
            <w:r>
              <w:rPr>
                <w:rFonts w:ascii="仿宋_GB2312" w:hAnsi="仿宋_GB2312" w:cs="仿宋_GB2312" w:eastAsia="仿宋_GB2312"/>
                <w:sz w:val="24"/>
                <w:b/>
                <w:color w:val="000000"/>
              </w:rPr>
              <w:t xml:space="preserve">  2.2.3</w:t>
            </w:r>
            <w:r>
              <w:rPr>
                <w:rFonts w:ascii="仿宋_GB2312" w:hAnsi="仿宋_GB2312" w:cs="仿宋_GB2312" w:eastAsia="仿宋_GB2312"/>
                <w:sz w:val="24"/>
                <w:color w:val="000000"/>
              </w:rPr>
              <w:t>具有道路运输从业人员从业资格证的驾驶员以及三年内无重大交通事故或同等以上责任事故的。</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 xml:space="preserve">3. </w:t>
            </w:r>
            <w:r>
              <w:rPr>
                <w:rFonts w:ascii="仿宋_GB2312" w:hAnsi="仿宋_GB2312" w:cs="仿宋_GB2312" w:eastAsia="仿宋_GB2312"/>
                <w:sz w:val="24"/>
                <w:color w:val="000000"/>
              </w:rPr>
              <w:t>项目商务要求：</w:t>
            </w:r>
          </w:p>
          <w:p>
            <w:pPr>
              <w:pStyle w:val="null3"/>
              <w:ind w:firstLine="482"/>
              <w:jc w:val="both"/>
            </w:pPr>
            <w:r>
              <w:rPr>
                <w:rFonts w:ascii="仿宋_GB2312" w:hAnsi="仿宋_GB2312" w:cs="仿宋_GB2312" w:eastAsia="仿宋_GB2312"/>
                <w:sz w:val="24"/>
                <w:b/>
                <w:color w:val="000000"/>
              </w:rPr>
              <w:t>3.1</w:t>
            </w:r>
            <w:r>
              <w:rPr>
                <w:rFonts w:ascii="仿宋_GB2312" w:hAnsi="仿宋_GB2312" w:cs="仿宋_GB2312" w:eastAsia="仿宋_GB2312"/>
                <w:sz w:val="24"/>
                <w:color w:val="000000"/>
              </w:rPr>
              <w:t>服务期及地点：服务期限</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年。服务地点：医院工作人员通勤（西门院区</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经开院区；元朔地铁口</w:t>
            </w:r>
            <w:r>
              <w:rPr>
                <w:rFonts w:ascii="仿宋_GB2312" w:hAnsi="仿宋_GB2312" w:cs="仿宋_GB2312" w:eastAsia="仿宋_GB2312"/>
                <w:sz w:val="24"/>
                <w:color w:val="000000"/>
              </w:rPr>
              <w:t>-</w:t>
            </w:r>
            <w:r>
              <w:rPr>
                <w:rFonts w:ascii="仿宋_GB2312" w:hAnsi="仿宋_GB2312" w:cs="仿宋_GB2312" w:eastAsia="仿宋_GB2312"/>
                <w:sz w:val="24"/>
                <w:color w:val="000000"/>
              </w:rPr>
              <w:t>经开院区）用车需求。</w:t>
            </w:r>
          </w:p>
          <w:p>
            <w:pPr>
              <w:pStyle w:val="null3"/>
              <w:ind w:firstLine="482"/>
              <w:jc w:val="both"/>
            </w:pPr>
            <w:r>
              <w:rPr>
                <w:rFonts w:ascii="仿宋_GB2312" w:hAnsi="仿宋_GB2312" w:cs="仿宋_GB2312" w:eastAsia="仿宋_GB2312"/>
                <w:sz w:val="24"/>
                <w:b/>
                <w:color w:val="000000"/>
              </w:rPr>
              <w:t xml:space="preserve">3.2 </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以</w:t>
            </w:r>
            <w:r>
              <w:rPr>
                <w:rFonts w:ascii="仿宋_GB2312" w:hAnsi="仿宋_GB2312" w:cs="仿宋_GB2312" w:eastAsia="仿宋_GB2312"/>
                <w:sz w:val="24"/>
                <w:color w:val="000000"/>
              </w:rPr>
              <w:t>实际出车日，按月</w:t>
            </w:r>
            <w:r>
              <w:rPr>
                <w:rFonts w:ascii="仿宋_GB2312" w:hAnsi="仿宋_GB2312" w:cs="仿宋_GB2312" w:eastAsia="仿宋_GB2312"/>
                <w:sz w:val="24"/>
                <w:color w:val="000000"/>
              </w:rPr>
              <w:t>据实</w:t>
            </w:r>
            <w:r>
              <w:rPr>
                <w:rFonts w:ascii="仿宋_GB2312" w:hAnsi="仿宋_GB2312" w:cs="仿宋_GB2312" w:eastAsia="仿宋_GB2312"/>
                <w:sz w:val="24"/>
                <w:color w:val="000000"/>
              </w:rPr>
              <w:t>结算（因系统原因，每月支付合同总金额为当月据实结算金额）。</w:t>
            </w:r>
          </w:p>
          <w:p>
            <w:pPr>
              <w:pStyle w:val="null3"/>
              <w:ind w:firstLine="482"/>
              <w:jc w:val="both"/>
            </w:pPr>
            <w:r>
              <w:rPr>
                <w:rFonts w:ascii="仿宋_GB2312" w:hAnsi="仿宋_GB2312" w:cs="仿宋_GB2312" w:eastAsia="仿宋_GB2312"/>
                <w:sz w:val="24"/>
                <w:b/>
                <w:color w:val="000000"/>
              </w:rPr>
              <w:t xml:space="preserve">3.3 </w:t>
            </w:r>
            <w:r>
              <w:rPr>
                <w:rFonts w:ascii="仿宋_GB2312" w:hAnsi="仿宋_GB2312" w:cs="仿宋_GB2312" w:eastAsia="仿宋_GB2312"/>
                <w:sz w:val="24"/>
                <w:color w:val="000000"/>
              </w:rPr>
              <w:t>验收依据：以合同为准。</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4"/>
                <w:b/>
                <w:color w:val="000000"/>
              </w:rPr>
              <w:t xml:space="preserve">  3.4 </w:t>
            </w:r>
            <w:r>
              <w:rPr>
                <w:rFonts w:ascii="仿宋_GB2312" w:hAnsi="仿宋_GB2312" w:cs="仿宋_GB2312" w:eastAsia="仿宋_GB2312"/>
                <w:sz w:val="24"/>
                <w:color w:val="000000"/>
              </w:rPr>
              <w:t>报价满足院方一切用车需求并不增加任何费用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color w:val="000000"/>
              </w:rPr>
              <w:t>其他要求</w:t>
            </w:r>
          </w:p>
          <w:p>
            <w:pPr>
              <w:pStyle w:val="null3"/>
            </w:pPr>
            <w:r>
              <w:rPr>
                <w:rFonts w:ascii="仿宋_GB2312" w:hAnsi="仿宋_GB2312" w:cs="仿宋_GB2312" w:eastAsia="仿宋_GB2312"/>
                <w:sz w:val="24"/>
                <w:color w:val="000000"/>
              </w:rPr>
              <w:t>为顺利推进政府采购电子化交易平台试点应用工作，供应商需要在线提交所有通过电子化交易平台实施的政府采购项目的响应文件，同时，线下提交响应文件正本一份、副本一份、电子版</w:t>
            </w:r>
            <w:r>
              <w:rPr>
                <w:rFonts w:ascii="仿宋_GB2312" w:hAnsi="仿宋_GB2312" w:cs="仿宋_GB2312" w:eastAsia="仿宋_GB2312"/>
                <w:sz w:val="24"/>
                <w:color w:val="000000"/>
              </w:rPr>
              <w:t>U</w:t>
            </w:r>
            <w:r>
              <w:rPr>
                <w:rFonts w:ascii="仿宋_GB2312" w:hAnsi="仿宋_GB2312" w:cs="仿宋_GB2312" w:eastAsia="仿宋_GB2312"/>
                <w:sz w:val="24"/>
                <w:color w:val="000000"/>
              </w:rPr>
              <w:t>盘一份（电子版需包括正本扫描件、</w:t>
            </w:r>
            <w:r>
              <w:rPr>
                <w:rFonts w:ascii="仿宋_GB2312" w:hAnsi="仿宋_GB2312" w:cs="仿宋_GB2312" w:eastAsia="仿宋_GB2312"/>
                <w:sz w:val="24"/>
                <w:color w:val="000000"/>
              </w:rPr>
              <w:t>U</w:t>
            </w:r>
            <w:r>
              <w:rPr>
                <w:rFonts w:ascii="仿宋_GB2312" w:hAnsi="仿宋_GB2312" w:cs="仿宋_GB2312" w:eastAsia="仿宋_GB2312"/>
                <w:sz w:val="24"/>
                <w:color w:val="000000"/>
              </w:rPr>
              <w:t>盘标明供应商名称，随正本密封）。文件须密封（密封以不泄露供应商商业机密、资格内容、技术及商务内容为标准）。若电子响应文件与纸质响应文件不一致的，以电子响应文件为准；若开标时生成的开标一览表金额与电子版响应文件不一致，以电子版响应文件内报价一览表为准；若正本与副本不一致，以正本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驾驶员具有道路运输从业人员从业资格证的驾驶员以及三年内无重大交通事故或同等以上责任事故的。</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五年内营运车辆（以车辆行驶证注册之日起计算，不得超过五年）。</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车辆营运证明材料及相关手续齐全。（包括但不限于《道路运输经营许可证》或道路运输经营备案手续、行驶证、保险及其他车辆必备的证照）</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医院工作人员通勤（西门院区-经开院区；元朔地铁口-经开院区）用车需求，上下车地点由医院指定。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以实际出车日，按月据实结算（因系统原因，每月支付合同总金额为当月据实结算金额）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一份、副本一份、电子版U盘一份（电子版需包括正本扫描件、U盘标明供应商名称，随正本密封）。文件须密封（密封以不泄露供应商商业机密、资格内容、技术及商务内容为标准）。若电子响应文件与纸质响应文件不一致的，以电子响应文件为准；若正本和副本不一致的，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以上两种形式的资料提供任何一种即可）</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 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提供非联合体磋商承诺函。</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提供《道路运输经营许可证》或道路运输经营备案手续。</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不存在与单位负责人为同一人或者存在直接控股、管理关系的其他供应商参与同一合同项下的政府采购活动的行为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商务应答表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服务管理制度</w:t>
            </w:r>
          </w:p>
        </w:tc>
        <w:tc>
          <w:tcPr>
            <w:tcW w:type="dxa" w:w="2492"/>
          </w:tcPr>
          <w:p>
            <w:pPr>
              <w:pStyle w:val="null3"/>
            </w:pPr>
            <w:r>
              <w:rPr>
                <w:rFonts w:ascii="仿宋_GB2312" w:hAnsi="仿宋_GB2312" w:cs="仿宋_GB2312" w:eastAsia="仿宋_GB2312"/>
              </w:rPr>
              <w:t>根据供应商提供的服务管理制度进行评审，内容包括①项目组织机构设置；②服务团队人员清单及岗位分工；③驾驶员管理制度；④车辆调度管理制度；⑤车辆维护保养管理制度。上述内容满分为20分；每缺少一项内容扣5分，每项内容里存在瑕疵的，每有一处扣2.5分，每项最多扣5分。 注：瑕疵是指：①内容脱离项目背景、项目需求以及行业或市场的客观实际，或涉及的政策规范及标准错误；②技术及实施操作不符合行业规范；③套用其它项目方案；④内容前后矛盾、存在歧义；⑤仅有理论或概述，没有具体的操作措施和方法;⑥不满足项目采购要求，达不到项目服务标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安全及应急保障方案</w:t>
            </w:r>
          </w:p>
        </w:tc>
        <w:tc>
          <w:tcPr>
            <w:tcW w:type="dxa" w:w="2492"/>
          </w:tcPr>
          <w:p>
            <w:pPr>
              <w:pStyle w:val="null3"/>
            </w:pPr>
            <w:r>
              <w:rPr>
                <w:rFonts w:ascii="仿宋_GB2312" w:hAnsi="仿宋_GB2312" w:cs="仿宋_GB2312" w:eastAsia="仿宋_GB2312"/>
              </w:rPr>
              <w:t>根据供应商提供的安全及应急保障方案进行评审，内容包括①车辆安全管理制度；②人员安全保障方案；③医院临时服务要求的响应及保障；④安全事故应急处理方案；⑤针对影响正常服务的突发事件的处理方案。上述内容满分为20分；每缺少一项内容扣5分，每项内容里存在瑕疵的，每有一处扣2.5分，每项最多扣5分。 注：瑕疵是指：①内容脱离项目背景、项目需求以及行业或市场的客观实际，或涉及的政策规范及标准错误；②技术及实施操作不符合行业规范；③套用其它项目方案；④内容前后矛盾、存在歧义；⑤仅有理论或概述，没有具体的操作措施和方法；⑥不满足项目采购要求，达不到项目服务标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车辆保险</w:t>
            </w:r>
          </w:p>
        </w:tc>
        <w:tc>
          <w:tcPr>
            <w:tcW w:type="dxa" w:w="2492"/>
          </w:tcPr>
          <w:p>
            <w:pPr>
              <w:pStyle w:val="null3"/>
            </w:pPr>
            <w:r>
              <w:rPr>
                <w:rFonts w:ascii="仿宋_GB2312" w:hAnsi="仿宋_GB2312" w:cs="仿宋_GB2312" w:eastAsia="仿宋_GB2312"/>
              </w:rPr>
              <w:t>1、供应商所具有的能为本项目提供服务的25座车型车辆投保的第三者商业责任险进行评分： 10万元＜第三者商业责任险的保险金额≤20 万元的，每有1辆车得1分； 20万元＜第三者商业责任险的保险金额≤40 万元的，每有1辆车得3分； 第三者商业责任险的保险金额＞40万元的，每有1辆车得5分。 本项最多得5分。 （说明：（1）提供车辆行驶证复印件，车辆行驶证载明的车辆的所有者为供应商、车辆的核定载客人数不少于25人；（2）提供机动车商业保险保险单复印件或者商业保险合同复印件。） 2、供应商所具有的能为本项目提供服务的25座车型车辆，每具有1辆在购买了第三者商业责任险的基础上，额外购买了总保额累计不低于500万元，可用于赔偿乘客人身伤害的其他商业保险的得5分，最多得5分。（说明：（1）提供车辆行驶证复印件，车辆行驶证载明的车辆的所有者为供应商、车辆的核定载客人数不少于25人；（2）提供机动车商业保险保险单复印件或者商业保险合同复印件。） 3、供应商所具有的能为本项目提供服务的54座车型车辆投保的第三者商业责任险进行评分： 10万元＜第三者商业责任险的保险金额≤20 万元的，每有1辆车得1分； 20万元＜第三者商业责任险的保险金额≤40 万元的，每有1辆车得3分； 第三者商业责任险的保险金额＞40万元的，每有1辆车得5分。 本项最多得5分。 （说明：（1）提供车辆行驶证复印件，车辆行驶证载明的车辆的所有者为供应商、车辆的核定载客人数不少于54人；（2）提供机动车商业保险保险单复印件或者商业保险合同复印件。） 4、供应商所具有的能为本项目提供服务的54座车型车辆，每具有1辆在购买了第三者商业责任险的基础上，额外购买了总保额累计不低于500万元，可用于赔偿乘客人身伤害的其他商业保险的得5分，最多得5分。（说明：（1）提供车辆行驶证复印件，车辆行驶证载明的车辆的所有者为供应商、车辆的核定载客人数不少于54人；（2）提供机动车商业保险保险单复印件或者商业保险合同复印件。）</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备用车辆响应时间</w:t>
            </w:r>
          </w:p>
        </w:tc>
        <w:tc>
          <w:tcPr>
            <w:tcW w:type="dxa" w:w="2492"/>
          </w:tcPr>
          <w:p>
            <w:pPr>
              <w:pStyle w:val="null3"/>
            </w:pPr>
            <w:r>
              <w:rPr>
                <w:rFonts w:ascii="仿宋_GB2312" w:hAnsi="仿宋_GB2312" w:cs="仿宋_GB2312" w:eastAsia="仿宋_GB2312"/>
              </w:rPr>
              <w:t>在服务期间，如遇日常运营车辆出现故障，供应商承诺在3小时内投入备用车辆的得10分；在5小时内投入备用车辆的得7分；在8小时内投入备用车辆的得3分；超过8小时投入备用车辆的得0分。 注：提供承诺函，格式自拟。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履约案例</w:t>
            </w:r>
          </w:p>
        </w:tc>
        <w:tc>
          <w:tcPr>
            <w:tcW w:type="dxa" w:w="2492"/>
          </w:tcPr>
          <w:p>
            <w:pPr>
              <w:pStyle w:val="null3"/>
            </w:pPr>
            <w:r>
              <w:rPr>
                <w:rFonts w:ascii="仿宋_GB2312" w:hAnsi="仿宋_GB2312" w:cs="仿宋_GB2312" w:eastAsia="仿宋_GB2312"/>
              </w:rPr>
              <w:t>供应商提供2022年1月1日以来的类似运输服务或车辆租赁服务案例的，提供1个得1分；最多得10分，不重复得分。 注：提供合同复印件加盖鲜章。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满足磋商文件要求且最终报价最低的报价为评审基准价，其报价分为满分。其他供应商的报价分按以下公式计算：报价得分=(评审基准价／最终报价) ×20。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