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版本号：ZSHZB-2025-218.1B120250721001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絮凝剂采购(二次)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ZSHZB-2025-218.1B1</w:t>
      </w:r>
      <w:r>
        <w:br/>
      </w:r>
      <w:r>
        <w:br/>
      </w:r>
      <w:r>
        <w:br/>
      </w:r>
    </w:p>
    <w:p>
      <w:pPr>
        <w:pStyle w:val="null3"/>
        <w:jc w:val="center"/>
        <w:outlineLvl w:val="2"/>
      </w:pPr>
      <w:r>
        <w:rPr>
          <w:rFonts w:ascii="仿宋_GB2312" w:hAnsi="仿宋_GB2312" w:cs="仿宋_GB2312" w:eastAsia="仿宋_GB2312"/>
          <w:sz w:val="28"/>
          <w:b/>
        </w:rPr>
        <w:t>西安市城肥清运处理中心</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西安市城肥清运处理中心</w:t>
      </w:r>
      <w:r>
        <w:rPr>
          <w:rFonts w:ascii="仿宋_GB2312" w:hAnsi="仿宋_GB2312" w:cs="仿宋_GB2312" w:eastAsia="仿宋_GB2312"/>
        </w:rPr>
        <w:t>委托，拟对</w:t>
      </w:r>
      <w:r>
        <w:rPr>
          <w:rFonts w:ascii="仿宋_GB2312" w:hAnsi="仿宋_GB2312" w:cs="仿宋_GB2312" w:eastAsia="仿宋_GB2312"/>
        </w:rPr>
        <w:t>絮凝剂采购(二次)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ZSHZB-2025-218.1B1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絮凝剂采购(二次)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絮凝剂采购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采购包1（絮凝剂）：属于专门面向中小企业采购。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1、法定代表人身份证明/法定代表人授权委托书：法定代表人直接参加磋商的，须出具法定代表人身份证明书；法定代表人授权代表参加磋商的，须出具法定代表人授权委托书和被授权人身份证。</w:t>
      </w:r>
    </w:p>
    <w:p>
      <w:pPr>
        <w:pStyle w:val="null3"/>
      </w:pPr>
      <w:r>
        <w:rPr>
          <w:rFonts w:ascii="仿宋_GB2312" w:hAnsi="仿宋_GB2312" w:cs="仿宋_GB2312" w:eastAsia="仿宋_GB2312"/>
        </w:rPr>
        <w:t>2、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西安市城肥清运处理中心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西安市莲湖区大兴西路43号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西安市城肥清运处理中心经办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84417133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陕西省西安市雁塔区陕西省西安市雁塔区太白南路甲字6号上上国际2403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狄女士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18092735047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参考《国家计委关于印发&lt;招标代理服务收费管理暂行办法&gt;的通知》（计价格【2002】1980号）及《国家发改委关于降低部分建设项目收费标准规范收费行为等有关问题的通知》（发改价格[2011]534号）规定按标准收取。 2、成交供应商在领取成交通知书前，须向采购代理机构一次性支付采购代理服务费。 3、招标代理服务费缴纳信息： 银行户名：陕西中盛禾项目咨询有限公司 开户行名称：交通银行股份有限公司西安大雁塔支行 账 号：611301053013002029330 联 系人：狄女士 联系电话：18092735047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西安市城肥清运处理中心</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西安市城肥清运处理中心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3、国家及行业现行的标准和技术规范。4、双方拟定的其他条款。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联系人：狄女士</w:t>
      </w:r>
    </w:p>
    <w:p>
      <w:pPr>
        <w:pStyle w:val="null3"/>
      </w:pPr>
      <w:r>
        <w:rPr>
          <w:rFonts w:ascii="仿宋_GB2312" w:hAnsi="仿宋_GB2312" w:cs="仿宋_GB2312" w:eastAsia="仿宋_GB2312"/>
        </w:rPr>
        <w:t>联系电话：18092735047</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絮凝剂采购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399,600.00</w:t>
      </w:r>
    </w:p>
    <w:p>
      <w:pPr>
        <w:pStyle w:val="null3"/>
      </w:pPr>
      <w:r>
        <w:rPr>
          <w:rFonts w:ascii="仿宋_GB2312" w:hAnsi="仿宋_GB2312" w:cs="仿宋_GB2312" w:eastAsia="仿宋_GB2312"/>
        </w:rPr>
        <w:t>采购包最高限价（元）: 399,600.00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絮凝剂</w:t>
            </w:r>
          </w:p>
        </w:tc>
        <w:tc>
          <w:tcPr>
            <w:tcW w:type="dxa" w:w="831"/>
          </w:tcPr>
          <w:p>
            <w:pPr>
              <w:pStyle w:val="null3"/>
              <w:jc w:val="right"/>
            </w:pPr>
            <w:r>
              <w:rPr>
                <w:rFonts w:ascii="仿宋_GB2312" w:hAnsi="仿宋_GB2312" w:cs="仿宋_GB2312" w:eastAsia="仿宋_GB2312"/>
              </w:rPr>
              <w:t>13.50</w:t>
            </w:r>
          </w:p>
        </w:tc>
        <w:tc>
          <w:tcPr>
            <w:tcW w:type="dxa" w:w="831"/>
          </w:tcPr>
          <w:p>
            <w:pPr>
              <w:pStyle w:val="null3"/>
              <w:jc w:val="right"/>
            </w:pPr>
            <w:r>
              <w:rPr>
                <w:rFonts w:ascii="仿宋_GB2312" w:hAnsi="仿宋_GB2312" w:cs="仿宋_GB2312" w:eastAsia="仿宋_GB2312"/>
              </w:rPr>
              <w:t>399,600.00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标的名称：絮凝剂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6"/>
              </w:rPr>
              <w:t>供应商若为代理商或经销商的，须提供所代理产品的生产厂家或品牌的授权证书、营业执照</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b/>
                <w:color w:val="000000"/>
              </w:rPr>
              <w:t>产品规格：</w:t>
            </w:r>
          </w:p>
          <w:p>
            <w:pPr>
              <w:pStyle w:val="null3"/>
              <w:ind w:firstLine="480"/>
              <w:jc w:val="left"/>
            </w:pPr>
            <w:r>
              <w:rPr>
                <w:rFonts w:ascii="仿宋_GB2312" w:hAnsi="仿宋_GB2312" w:cs="仿宋_GB2312" w:eastAsia="仿宋_GB2312"/>
                <w:sz w:val="16"/>
                <w:color w:val="000000"/>
              </w:rPr>
              <w:t>1、符合中华人民共和国化工行业HG/T5568-2019水处理剂乳液型阳离子聚丙烯酰胺的行业标准</w:t>
            </w:r>
          </w:p>
          <w:p>
            <w:pPr>
              <w:pStyle w:val="null3"/>
              <w:ind w:firstLine="480"/>
              <w:jc w:val="left"/>
            </w:pPr>
            <w:r>
              <w:rPr>
                <w:rFonts w:ascii="仿宋_GB2312" w:hAnsi="仿宋_GB2312" w:cs="仿宋_GB2312" w:eastAsia="仿宋_GB2312"/>
                <w:sz w:val="16"/>
                <w:color w:val="000000"/>
              </w:rPr>
              <w:t>2、离子类型：阳离子</w:t>
            </w:r>
          </w:p>
          <w:p>
            <w:pPr>
              <w:pStyle w:val="null3"/>
              <w:ind w:firstLine="480"/>
              <w:jc w:val="left"/>
            </w:pPr>
            <w:r>
              <w:rPr>
                <w:rFonts w:ascii="仿宋_GB2312" w:hAnsi="仿宋_GB2312" w:cs="仿宋_GB2312" w:eastAsia="仿宋_GB2312"/>
                <w:sz w:val="16"/>
                <w:color w:val="000000"/>
              </w:rPr>
              <w:t>3、外观：乳白色液体</w:t>
            </w:r>
          </w:p>
          <w:p>
            <w:pPr>
              <w:pStyle w:val="null3"/>
              <w:ind w:firstLine="480"/>
              <w:jc w:val="left"/>
            </w:pPr>
            <w:r>
              <w:rPr>
                <w:rFonts w:ascii="仿宋_GB2312" w:hAnsi="仿宋_GB2312" w:cs="仿宋_GB2312" w:eastAsia="仿宋_GB2312"/>
                <w:sz w:val="16"/>
              </w:rPr>
              <w:t>4、</w:t>
            </w:r>
            <w:r>
              <w:rPr>
                <w:rFonts w:ascii="仿宋_GB2312" w:hAnsi="仿宋_GB2312" w:cs="仿宋_GB2312" w:eastAsia="仿宋_GB2312"/>
                <w:sz w:val="16"/>
                <w:color w:val="000000"/>
              </w:rPr>
              <w:t>质保期：一年及以上</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16"/>
                <w:b/>
              </w:rPr>
              <w:t>产品规格：</w:t>
            </w:r>
          </w:p>
          <w:p>
            <w:pPr>
              <w:pStyle w:val="null3"/>
              <w:ind w:firstLine="480"/>
              <w:jc w:val="left"/>
            </w:pPr>
            <w:r>
              <w:rPr>
                <w:rFonts w:ascii="仿宋_GB2312" w:hAnsi="仿宋_GB2312" w:cs="仿宋_GB2312" w:eastAsia="仿宋_GB2312"/>
                <w:sz w:val="16"/>
                <w:color w:val="000000"/>
              </w:rPr>
              <w:t>1、聚合物含量的质量分数：≥30%</w:t>
            </w:r>
          </w:p>
          <w:p>
            <w:pPr>
              <w:pStyle w:val="null3"/>
              <w:ind w:firstLine="480"/>
              <w:jc w:val="left"/>
            </w:pPr>
            <w:r>
              <w:rPr>
                <w:rFonts w:ascii="仿宋_GB2312" w:hAnsi="仿宋_GB2312" w:cs="仿宋_GB2312" w:eastAsia="仿宋_GB2312"/>
                <w:sz w:val="16"/>
                <w:color w:val="000000"/>
              </w:rPr>
              <w:t>2、阳离子度：95％≥阳离子度≥5％</w:t>
            </w:r>
          </w:p>
          <w:p>
            <w:pPr>
              <w:pStyle w:val="null3"/>
              <w:ind w:firstLine="480"/>
              <w:jc w:val="left"/>
            </w:pPr>
            <w:r>
              <w:rPr>
                <w:rFonts w:ascii="仿宋_GB2312" w:hAnsi="仿宋_GB2312" w:cs="仿宋_GB2312" w:eastAsia="仿宋_GB2312"/>
                <w:sz w:val="16"/>
                <w:color w:val="000000"/>
              </w:rPr>
              <w:t>3、特性黏数（30℃）[η]/dL/g≥3</w:t>
            </w:r>
          </w:p>
          <w:p>
            <w:pPr>
              <w:pStyle w:val="null3"/>
              <w:ind w:firstLine="480"/>
              <w:jc w:val="left"/>
            </w:pPr>
            <w:r>
              <w:rPr>
                <w:rFonts w:ascii="仿宋_GB2312" w:hAnsi="仿宋_GB2312" w:cs="仿宋_GB2312" w:eastAsia="仿宋_GB2312"/>
                <w:sz w:val="16"/>
                <w:color w:val="000000"/>
              </w:rPr>
              <w:t>4、溶解时间： ≤30min</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16"/>
                <w:color w:val="000000"/>
              </w:rPr>
              <w:t>采购内容：絮凝剂采购</w:t>
            </w:r>
          </w:p>
          <w:p>
            <w:pPr>
              <w:pStyle w:val="null3"/>
              <w:jc w:val="left"/>
            </w:pPr>
            <w:r>
              <w:rPr>
                <w:rFonts w:ascii="仿宋_GB2312" w:hAnsi="仿宋_GB2312" w:cs="仿宋_GB2312" w:eastAsia="仿宋_GB2312"/>
                <w:sz w:val="16"/>
                <w:color w:val="000000"/>
              </w:rPr>
              <w:t>服务期：150天</w:t>
            </w:r>
          </w:p>
          <w:p>
            <w:pPr>
              <w:pStyle w:val="null3"/>
              <w:jc w:val="left"/>
            </w:pPr>
            <w:r>
              <w:rPr>
                <w:rFonts w:ascii="仿宋_GB2312" w:hAnsi="仿宋_GB2312" w:cs="仿宋_GB2312" w:eastAsia="仿宋_GB2312"/>
                <w:sz w:val="16"/>
                <w:color w:val="000000"/>
              </w:rPr>
              <w:t>供货地点：西安市城肥清运处理中心粪便预处理站</w:t>
            </w:r>
          </w:p>
          <w:p>
            <w:pPr>
              <w:pStyle w:val="null3"/>
              <w:jc w:val="left"/>
            </w:pPr>
            <w:r>
              <w:rPr>
                <w:rFonts w:ascii="仿宋_GB2312" w:hAnsi="仿宋_GB2312" w:cs="仿宋_GB2312" w:eastAsia="仿宋_GB2312"/>
                <w:sz w:val="16"/>
                <w:color w:val="000000"/>
              </w:rPr>
              <w:t>付款方式：据实结算。每月15日前采购人根据实际使用量据实结算，付款前成交供应商向采购人提供全额发票，采购人收到发票后，以银行转账方式结算上月费用。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16"/>
                <w:b/>
                <w:color w:val="000000"/>
              </w:rPr>
              <w:t>技术要求</w:t>
            </w:r>
          </w:p>
          <w:p>
            <w:pPr>
              <w:pStyle w:val="null3"/>
              <w:ind w:firstLine="480"/>
              <w:jc w:val="left"/>
            </w:pPr>
            <w:r>
              <w:rPr>
                <w:rFonts w:ascii="仿宋_GB2312" w:hAnsi="仿宋_GB2312" w:cs="仿宋_GB2312" w:eastAsia="仿宋_GB2312"/>
                <w:sz w:val="16"/>
                <w:color w:val="000000"/>
              </w:rPr>
              <w:t>交货地点及要求：成交供应商负责按要求时间将货物送达我单位粪便预处理站同时将货物卸到指定地点，并承担所有费用。</w:t>
            </w:r>
          </w:p>
          <w:p>
            <w:pPr>
              <w:pStyle w:val="null3"/>
              <w:ind w:firstLine="480"/>
              <w:jc w:val="left"/>
            </w:pPr>
            <w:r>
              <w:rPr>
                <w:rFonts w:ascii="仿宋_GB2312" w:hAnsi="仿宋_GB2312" w:cs="仿宋_GB2312" w:eastAsia="仿宋_GB2312"/>
                <w:sz w:val="16"/>
                <w:color w:val="000000"/>
              </w:rPr>
              <w:t>保修期：整个合同生效期。成交供应商接到采购人关于加药装置运转有异常、絮凝脱水处理效果异常通知后，成交供应商售后人员需在24小时内到达采购人单位，进行响应，排除问题。</w:t>
            </w:r>
          </w:p>
          <w:p>
            <w:pPr>
              <w:pStyle w:val="null3"/>
              <w:ind w:firstLine="480"/>
              <w:jc w:val="left"/>
            </w:pPr>
            <w:r>
              <w:rPr>
                <w:rFonts w:ascii="仿宋_GB2312" w:hAnsi="仿宋_GB2312" w:cs="仿宋_GB2312" w:eastAsia="仿宋_GB2312"/>
                <w:sz w:val="16"/>
                <w:color w:val="000000"/>
              </w:rPr>
              <w:t>验收要求：聚丙烯酰胺类乳液絮凝剂为原厂产品，不得二次加工。与规定的质量、规格等要求相符，同时每一批次均应提供产品质量合格证书（质量标准认证）、产品检验报告（技术性说明资料）等相关材料。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西安市城肥清运处理中心粪便预处理站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采购人根据每次供货实际数量据实结算。付款前成交供应商向采购人提供当次供货量的全额发票，采购人收到发票后，以银行转账方式结算费用。</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2、验收依据：（1）合同；（2）国家有关的验收标准及规范；（3）竞争性磋商文件、竞争性磋商响应文件。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150天</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1、提供有效存续的企业营业执照/事业单位法人证书/专业服务机构执业许可证/民办非企业单位登记证书，自然人投标的提供其身份证明； 2、提供2024年度经审计的完整财务报告（成立时间至提交响应文件截止时间不足一年的可提供成立后任意时段的资产负债表），或其磋商前六个月内基本开户银行出具的资信证明及其基本存款账户开户许可证（无基本存款账户开户许可证可提供其基本存款账户信息证明）；（以上两种形式的资料提供任何一种即可） 3、提供截止磋商前六个月内已缴纳任意一个月纳税证明或税务机关开具的完税证明（时间以税款所属日期为准，凭据应有税务机关或代收机关的公章或业务专用章。）依法免税或无须缴纳税收的单位应提供相应证明文件； 4、提供截止磋商前六个月内已缴存任意一个月社会保障资金缴存单据或社保机构开具的社会保险参保缴费证明，依法不需要缴纳社会保障资金的单位应提供相应证明文件； 5、具备履行合同所必需的设备和专业技术能力的证明材料或书面声明； 6、参加政府采购活动前三年内在经营活动中没有重大违法记录的书面声明。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磋商前六个月内基本开户银行出具的资信证明及其基本存款账户开户许可证（无基本存款账户开户许可证可提供其基本存款账户信息证明）；（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响应文件上法定代表人（单位负责人）或其授权委托人的签字齐全并加盖单位章</w:t>
            </w:r>
          </w:p>
        </w:tc>
        <w:tc>
          <w:tcPr>
            <w:tcW w:type="dxa" w:w="1661"/>
          </w:tcPr>
          <w:p>
            <w:pPr>
              <w:pStyle w:val="null3"/>
            </w:pPr>
            <w:r>
              <w:rPr>
                <w:rFonts w:ascii="仿宋_GB2312" w:hAnsi="仿宋_GB2312" w:cs="仿宋_GB2312" w:eastAsia="仿宋_GB2312"/>
              </w:rPr>
              <w:t>中小企业声明函 商务应答表 报价表 响应文件封面 产品技术参数表 供应商应提交的相关资格证明材料.docx 残疾人福利性单位声明函 标的清单 供应商需补充的其他内容.docx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中小企业声明函 商务应答表 报价表 响应文件封面 产品技术参数表 供应商应提交的相关资格证明材料.docx 残疾人福利性单位声明函 标的清单 供应商需补充的其他内容.docx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中小企业声明函 商务应答表 报价表 响应文件封面 产品技术参数表 供应商应提交的相关资格证明材料.docx 残疾人福利性单位声明函 标的清单 供应商需补充的其他内容.docx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 环境标志产品</w:t>
            </w:r>
          </w:p>
        </w:tc>
        <w:tc>
          <w:tcPr>
            <w:tcW w:type="dxa" w:w="2492"/>
          </w:tcPr>
          <w:p>
            <w:pPr>
              <w:pStyle w:val="null3"/>
            </w:pPr>
            <w:r>
              <w:rPr>
                <w:rFonts w:ascii="仿宋_GB2312" w:hAnsi="仿宋_GB2312" w:cs="仿宋_GB2312" w:eastAsia="仿宋_GB2312"/>
              </w:rPr>
              <w:t>响应产品为节能、环保、环境标志产品清单中的产品，符合磋商文件要求的，可优先采购并根据其占磋商报价的百分比计算得分，计算公式为：得分=（节能、环保、环境标志产品清单中的产品报价/磋商报价）×2</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产品供货渠道</w:t>
            </w:r>
          </w:p>
        </w:tc>
        <w:tc>
          <w:tcPr>
            <w:tcW w:type="dxa" w:w="2492"/>
          </w:tcPr>
          <w:p>
            <w:pPr>
              <w:pStyle w:val="null3"/>
            </w:pPr>
            <w:r>
              <w:rPr>
                <w:rFonts w:ascii="仿宋_GB2312" w:hAnsi="仿宋_GB2312" w:cs="仿宋_GB2312" w:eastAsia="仿宋_GB2312"/>
              </w:rPr>
              <w:t>产品供货渠道正常，无劣质、瑕疵产品及产权纠纷，针对本项目提供产品的来源渠道合法证明材料（包括但不限于销售协议、代理协议、生产厂家或品牌的授权证书等），根据供应商的证明材料齐全程度计0-5分。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根据响应产品技术参数、性能的满足程度赋分：响应产品合理、技术先进，技术参数清晰明确，符合使用要求，数量准确无缺漏项的计基础分6分； 技术指标和性能优于采购需求的，每优于一项加1分，最多不超过4分。 本项最高计10分。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提供2022年7月（以合同签订日期为准）至今类似项目业绩合同，每提供一份计2分，满分10分。（响应文件中附业绩合同复印件加盖公章，内容须清晰可辨）。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vMerge/>
          </w:tcPr>
          <w:p/>
        </w:tc>
        <w:tc>
          <w:tcPr>
            <w:tcW w:type="dxa" w:w="1661"/>
          </w:tcPr>
          <w:p>
            <w:pPr>
              <w:pStyle w:val="null3"/>
            </w:pPr>
            <w:r>
              <w:rPr>
                <w:rFonts w:ascii="仿宋_GB2312" w:hAnsi="仿宋_GB2312" w:cs="仿宋_GB2312" w:eastAsia="仿宋_GB2312"/>
              </w:rPr>
              <w:t>项目组织实施方案</w:t>
            </w:r>
          </w:p>
        </w:tc>
        <w:tc>
          <w:tcPr>
            <w:tcW w:type="dxa" w:w="2492"/>
          </w:tcPr>
          <w:p>
            <w:pPr>
              <w:pStyle w:val="null3"/>
            </w:pPr>
            <w:r>
              <w:rPr>
                <w:rFonts w:ascii="仿宋_GB2312" w:hAnsi="仿宋_GB2312" w:cs="仿宋_GB2312" w:eastAsia="仿宋_GB2312"/>
              </w:rPr>
              <w:t>项目组织实施计划完整可行，人员、资金等保障措施可靠，具有明确的项目组织机构及实施方案，磋商小组从以下方面进行综合评定赋分。 （1）备货、供货进度及保证措施（0-5分） （2）拟投入本项目的人员及人员责任制度（0-7分） （3）产品质量等方面保证措施（0-5分） （4）产品应急保障措施（0-5分）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供应商提供的产品符合国家的标准和行业规定的质量标准，提供保障措施。 产品符合质量标准，保障措施完善、合理、有效计3.1-6分； 产品保障措施未完善、空泛计0-3分。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针对本项目具有可行的售后服务方案，方案有具体的售后服务内容、响应时间、响应方式等。 售后服务方案及措施，详细、全面、科学合理、可行的，计4.1-8分；售后方案及措施简单、可行性差计0-4分。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售后服务承诺及保证措施</w:t>
            </w:r>
          </w:p>
        </w:tc>
        <w:tc>
          <w:tcPr>
            <w:tcW w:type="dxa" w:w="2492"/>
          </w:tcPr>
          <w:p>
            <w:pPr>
              <w:pStyle w:val="null3"/>
            </w:pPr>
            <w:r>
              <w:rPr>
                <w:rFonts w:ascii="仿宋_GB2312" w:hAnsi="仿宋_GB2312" w:cs="仿宋_GB2312" w:eastAsia="仿宋_GB2312"/>
              </w:rPr>
              <w:t>售后服务承诺及保证措施详细、具体、完整、详尽、无缺漏可行性强的计2.1-4分；服务承诺内容空泛的计0-2分。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供应商提供针对本项目的产品日常使用等方面的合理化建议。 合理化建议内容有针对性，合理、可行计0-3分。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详见附件：供应商需补充的其他内容.docx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