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版本号：SXZHZC2025-CS254-120250722001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西安市公安局经开分局禁毒数据服务采购项目(二次)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SXZHZC2025-CS254-1</w:t>
      </w:r>
      <w:r>
        <w:br/>
      </w:r>
      <w:r>
        <w:br/>
      </w:r>
      <w:r>
        <w:br/>
      </w:r>
    </w:p>
    <w:p>
      <w:pPr>
        <w:pStyle w:val="null3"/>
        <w:jc w:val="center"/>
        <w:outlineLvl w:val="2"/>
      </w:pPr>
      <w:r>
        <w:rPr>
          <w:rFonts w:ascii="仿宋_GB2312" w:hAnsi="仿宋_GB2312" w:cs="仿宋_GB2312" w:eastAsia="仿宋_GB2312"/>
          <w:sz w:val="28"/>
          <w:b/>
        </w:rPr>
        <w:t>西安市公安局（本级）</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西安市公安局（本级）</w:t>
      </w:r>
      <w:r>
        <w:rPr>
          <w:rFonts w:ascii="仿宋_GB2312" w:hAnsi="仿宋_GB2312" w:cs="仿宋_GB2312" w:eastAsia="仿宋_GB2312"/>
        </w:rPr>
        <w:t>委托，拟对</w:t>
      </w:r>
      <w:r>
        <w:rPr>
          <w:rFonts w:ascii="仿宋_GB2312" w:hAnsi="仿宋_GB2312" w:cs="仿宋_GB2312" w:eastAsia="仿宋_GB2312"/>
        </w:rPr>
        <w:t>西安市公安局经开分局禁毒数据服务采购项目(二次)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SXZHZC2025-CS254-1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西安市公安局经开分局禁毒数据服务采购项目(二次)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西安市公安局经开分局禁毒数据服务采购项目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采购包1（西安市公安局经开分局禁毒数据服务采购项目）：属于专门面向中小企业采购。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西安市西大街63号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029-86751383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代理服务费收费标准：代理服务费定额收取：人民币捌仟元整（¥：8000.00元）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西安市公安局（本级）</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联系人：海宝会</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b/>
          <w:shd w:fill="FFFFFF" w:val="clear"/>
        </w:rPr>
        <w:t>西安市公安局经开分局禁毒数据服务采购项目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after="75"/>
              <w:jc w:val="left"/>
            </w:pPr>
            <w:r>
              <w:rPr>
                <w:rFonts w:ascii="仿宋_GB2312" w:hAnsi="仿宋_GB2312" w:cs="仿宋_GB2312" w:eastAsia="仿宋_GB2312"/>
                <w:sz w:val="21"/>
                <w:b/>
              </w:rPr>
              <w:t>1、服务基本要求</w:t>
            </w:r>
          </w:p>
          <w:p>
            <w:pPr>
              <w:pStyle w:val="null3"/>
              <w:spacing w:before="75" w:after="75"/>
              <w:jc w:val="left"/>
            </w:pPr>
            <w:r>
              <w:rPr>
                <w:rFonts w:ascii="仿宋_GB2312" w:hAnsi="仿宋_GB2312" w:cs="仿宋_GB2312" w:eastAsia="仿宋_GB2312"/>
                <w:sz w:val="21"/>
              </w:rPr>
              <w:t>1）系统服务平台为</w:t>
            </w:r>
            <w:r>
              <w:rPr>
                <w:rFonts w:ascii="仿宋_GB2312" w:hAnsi="仿宋_GB2312" w:cs="仿宋_GB2312" w:eastAsia="仿宋_GB2312"/>
                <w:sz w:val="21"/>
              </w:rPr>
              <w:t>内网</w:t>
            </w:r>
            <w:r>
              <w:rPr>
                <w:rFonts w:ascii="仿宋_GB2312" w:hAnsi="仿宋_GB2312" w:cs="仿宋_GB2312" w:eastAsia="仿宋_GB2312"/>
                <w:sz w:val="21"/>
              </w:rPr>
              <w:t>Web端系统；</w:t>
            </w:r>
          </w:p>
          <w:p>
            <w:pPr>
              <w:pStyle w:val="null3"/>
              <w:ind w:left="315"/>
              <w:jc w:val="left"/>
            </w:pPr>
            <w:r>
              <w:rPr>
                <w:rFonts w:ascii="仿宋_GB2312" w:hAnsi="仿宋_GB2312" w:cs="仿宋_GB2312" w:eastAsia="仿宋_GB2312"/>
                <w:sz w:val="21"/>
              </w:rPr>
              <w:t>2）可以针对事实清晰，法律手续齐备的特定对象进行使用</w:t>
            </w:r>
            <w:r>
              <w:rPr>
                <w:rFonts w:ascii="仿宋_GB2312" w:hAnsi="仿宋_GB2312" w:cs="仿宋_GB2312" w:eastAsia="仿宋_GB2312"/>
                <w:sz w:val="21"/>
              </w:rPr>
              <w:t>。</w:t>
            </w:r>
          </w:p>
          <w:p>
            <w:pPr>
              <w:pStyle w:val="null3"/>
              <w:ind w:left="315"/>
              <w:jc w:val="left"/>
            </w:pPr>
            <w:r>
              <w:rPr>
                <w:rFonts w:ascii="仿宋_GB2312" w:hAnsi="仿宋_GB2312" w:cs="仿宋_GB2312" w:eastAsia="仿宋_GB2312"/>
                <w:sz w:val="21"/>
                <w:b/>
              </w:rPr>
              <w:t>2、提供的主要功能</w:t>
            </w:r>
          </w:p>
          <w:p>
            <w:pPr>
              <w:pStyle w:val="null3"/>
              <w:spacing w:before="75" w:after="75"/>
              <w:jc w:val="both"/>
            </w:pPr>
            <w:r>
              <w:rPr>
                <w:rFonts w:ascii="仿宋_GB2312" w:hAnsi="仿宋_GB2312" w:cs="仿宋_GB2312" w:eastAsia="仿宋_GB2312"/>
                <w:sz w:val="21"/>
                <w:color w:val="000000"/>
              </w:rPr>
              <w:t>1）平台基础服务：业务需求流转支撑及账号管理服务、使用日志审计。</w:t>
            </w:r>
          </w:p>
          <w:p>
            <w:pPr>
              <w:pStyle w:val="null3"/>
              <w:spacing w:before="75" w:after="7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）实施布控：分析挖掘位置信息、有效线索。</w:t>
            </w:r>
          </w:p>
          <w:p>
            <w:pPr>
              <w:pStyle w:val="null3"/>
              <w:spacing w:before="75" w:after="7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）初侦初查：对涉案要素多维关联分析，发现、提取更具真实性、指向性的涉案人员、设备等线索。</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）审批中心：用于管理提交的审批任务，便于查看审核进度、审核详情。</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）用户中心：提供账户信息管理、账户操作日志等用户相关功能。</w:t>
            </w:r>
          </w:p>
          <w:p>
            <w:pPr>
              <w:pStyle w:val="null3"/>
              <w:spacing w:before="75" w:after="75"/>
              <w:jc w:val="left"/>
            </w:pPr>
            <w:r>
              <w:rPr>
                <w:rFonts w:ascii="仿宋_GB2312" w:hAnsi="仿宋_GB2312" w:cs="仿宋_GB2312" w:eastAsia="仿宋_GB2312"/>
                <w:sz w:val="21"/>
                <w:b/>
              </w:rPr>
              <w:t>3、其他要求</w:t>
            </w:r>
          </w:p>
          <w:p>
            <w:pPr>
              <w:pStyle w:val="null3"/>
              <w:jc w:val="both"/>
            </w:pPr>
            <w:r>
              <w:rPr>
                <w:rFonts w:ascii="仿宋_GB2312" w:hAnsi="仿宋_GB2312" w:cs="仿宋_GB2312" w:eastAsia="仿宋_GB2312"/>
                <w:sz w:val="21"/>
              </w:rPr>
              <w:t>1）系统可用性（SLA）</w:t>
            </w:r>
            <w:r>
              <w:rPr>
                <w:rFonts w:ascii="仿宋_GB2312" w:hAnsi="仿宋_GB2312" w:cs="仿宋_GB2312" w:eastAsia="仿宋_GB2312"/>
                <w:sz w:val="21"/>
              </w:rPr>
              <w:t>≥</w:t>
            </w:r>
            <w:r>
              <w:rPr>
                <w:rFonts w:ascii="仿宋_GB2312" w:hAnsi="仿宋_GB2312" w:cs="仿宋_GB2312" w:eastAsia="仿宋_GB2312"/>
                <w:sz w:val="21"/>
              </w:rPr>
              <w:t>99.6%；</w:t>
            </w:r>
          </w:p>
          <w:p>
            <w:pPr>
              <w:pStyle w:val="null3"/>
              <w:ind w:left="315"/>
              <w:jc w:val="left"/>
            </w:pPr>
            <w:r>
              <w:rPr>
                <w:rFonts w:ascii="仿宋_GB2312" w:hAnsi="仿宋_GB2312" w:cs="仿宋_GB2312" w:eastAsia="仿宋_GB2312"/>
                <w:sz w:val="21"/>
              </w:rPr>
              <w:t>2）页面响应时长</w:t>
            </w:r>
            <w:r>
              <w:rPr>
                <w:rFonts w:ascii="仿宋_GB2312" w:hAnsi="仿宋_GB2312" w:cs="仿宋_GB2312" w:eastAsia="仿宋_GB2312"/>
                <w:sz w:val="21"/>
              </w:rPr>
              <w:t>≤</w:t>
            </w:r>
            <w:r>
              <w:rPr>
                <w:rFonts w:ascii="仿宋_GB2312" w:hAnsi="仿宋_GB2312" w:cs="仿宋_GB2312" w:eastAsia="仿宋_GB2312"/>
                <w:sz w:val="21"/>
              </w:rPr>
              <w:t>3秒；</w:t>
            </w:r>
          </w:p>
          <w:p>
            <w:pPr>
              <w:pStyle w:val="null3"/>
              <w:jc w:val="both"/>
            </w:pPr>
            <w:r>
              <w:rPr>
                <w:rFonts w:ascii="仿宋_GB2312" w:hAnsi="仿宋_GB2312" w:cs="仿宋_GB2312" w:eastAsia="仿宋_GB2312"/>
                <w:sz w:val="21"/>
              </w:rPr>
              <w:t>3）系统数据计算时长</w:t>
            </w:r>
            <w:r>
              <w:rPr>
                <w:rFonts w:ascii="仿宋_GB2312" w:hAnsi="仿宋_GB2312" w:cs="仿宋_GB2312" w:eastAsia="仿宋_GB2312"/>
                <w:sz w:val="21"/>
              </w:rPr>
              <w:t>≤</w:t>
            </w:r>
            <w:r>
              <w:rPr>
                <w:rFonts w:ascii="仿宋_GB2312" w:hAnsi="仿宋_GB2312" w:cs="仿宋_GB2312" w:eastAsia="仿宋_GB2312"/>
                <w:sz w:val="21"/>
              </w:rPr>
              <w:t>T+1小时。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技术和商务偏离表.docx 标的清单 报价表 响应函 合同条款响应.docx 服务方案.docx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标的清单 报价表 合同条款响应.docx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技术和商务偏离表.docx 标的清单 报价表 响应函 合同条款响应.docx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保密承诺书</w:t>
            </w:r>
          </w:p>
        </w:tc>
        <w:tc>
          <w:tcPr>
            <w:tcW w:type="dxa" w:w="3322"/>
          </w:tcPr>
          <w:p>
            <w:pPr>
              <w:pStyle w:val="null3"/>
            </w:pPr>
            <w:r>
              <w:rPr>
                <w:rFonts w:ascii="仿宋_GB2312" w:hAnsi="仿宋_GB2312" w:cs="仿宋_GB2312" w:eastAsia="仿宋_GB2312"/>
              </w:rPr>
              <w:t>供应商需要提交保密承诺书（格式后附）</w:t>
            </w:r>
          </w:p>
        </w:tc>
        <w:tc>
          <w:tcPr>
            <w:tcW w:type="dxa" w:w="1661"/>
          </w:tcPr>
          <w:p>
            <w:pPr>
              <w:pStyle w:val="null3"/>
            </w:pPr>
            <w:r>
              <w:rPr>
                <w:rFonts w:ascii="仿宋_GB2312" w:hAnsi="仿宋_GB2312" w:cs="仿宋_GB2312" w:eastAsia="仿宋_GB2312"/>
              </w:rPr>
              <w:t>保密承诺书.docx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评审内容：①总体服务方案②对本项目业务需求的理解③平台系统数据运维目标及效果④数据监测运维质量方案 评审标准: 评审标准:方案各部分内容全面详细、阐述条理清晰详尽、符合本项目采购需求得16分;评审内容每缺一项扣4分；评审内容有缺陷（缺陷是指：内容粗略、逻辑混乱、描述过于简单、与项目特点不匹配、凭空编造、逻辑漏洞、出现常识性错误、存在不适用项目实际情况的情0形或只有标题没有实质性内容等）的扣0.1-3.9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团队人员： ①组织机构设置方案②团队的职能分工及职责划分方案③拟投入人员配置、数量、经验及专业能力。 评审标准： 机构设置合理、团队人员职责划分明确、团队配置满足项目情况及需要，人员专业能力能有效保障项目服务质量，内容描述详细，架构清晰的得9分。 评审内容任意一项缺项扣3分； 评审内容有一项内容缺陷（缺陷是指：内容粗略、组织结构设置不合理、人员配置不合理、职责划分不明确、人员经验不足、与项目特点不匹配、或只有标题没有实质性内容等）扣0.1-2.9分。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评审内容：①培训内容和培训方式②培训流程及培训日程安排③培训效果保障措施。 评审标准： 方案各部分内容全面详细、阐述条例清晰详尽、每个要点均有展开详细的阐述且能够适用于本项目，确保培训后的人员了解产品结构、操作方法，并能排除一般故障的得9分； 评审内容任意一项缺项扣3分，扣完为止； 评审内容有一项内容缺陷（缺陷是指：内容描述过于简单、条理不清晰、与项目内容不匹配、凭空编造、出现常识性错误、不可能实现的夸大情形、存在不适用项目实际情况的情形或只有标题没有实质性内容等）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评审内容：①岗位职责分工②内控制度③员工日常管理办法④奖惩措施。 评审标准: 方案各部分内容全面详细、阐述条理清晰详尽、符合本项目采购需求得12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评审内容：①工作计划安排②工作进度保障。 评审标准: 方案各部分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 方案各部分内容全面详细、阐述条理清晰详尽、符合本项目采购需求得4分;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评审内容：投标人针对本项目提供突发事件管理方案，包括①项目关键技术点、服务实施难点分析及对应的解决方案；②各类不可预期风险以及各类临时性、紧急性应急保障任务的理解评估以及所采取的应对措施；③项目组织管理办法；④风险控制方法。 评审依据： ①～④方案内容专门针对本项目编制，切合本项目实际情况及实施要求，满足项目需求。方案详细可行，思路清晰，能有效保障项目服务质量的得3分；满分12分。 方案①～④项任意一项缺项扣3分，扣完为止； 方案①～④项里任意一项内容有缺陷（缺陷是指：内容粗略、逻辑混乱、描述过于简单、与项目特点不匹配、凭空编造、逻辑漏洞、出现常识性错误、存在不可能实现的夸大情形、存在不适用项目实际情况的情形或只有标题没有实质性内容等）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针对本项目提出的服务方案和承诺。 评审内容：①服务标准②服务流程③服务内容④响应时间。 评审标准:方案各部分内容全面详细、阐述条理清晰详尽、符合本项目采购需求得12分;评审内容每缺一项扣3分；评审内容有缺陷（缺陷是指：内容粗略、逻辑混乱、描述过于简单、与项目特点不匹配、凭空编造、逻辑漏洞、出现常识性错误、存在不适用项目实际情况的情形或只有标题没有实质性内容等）的扣0.1-2.9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提供供应商2022年6月至响应文件递交截止日类似项目业绩（以合同复印件为准），每提供一份业绩得2分，最高得10分。若提供虚假业绩，一经发现，按无效磋商处理。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详见附件：保密承诺书.docx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