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版本号：JHZY-ZB-2025-01020250723001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西安市应急救援防汛抢险驻训备勤项目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JHZY-ZB-2025-010</w:t>
      </w:r>
      <w:r>
        <w:br/>
      </w:r>
      <w:r>
        <w:br/>
      </w:r>
      <w:r>
        <w:br/>
      </w:r>
    </w:p>
    <w:p>
      <w:pPr>
        <w:pStyle w:val="null3"/>
        <w:jc w:val="center"/>
        <w:outlineLvl w:val="5"/>
      </w:pPr>
      <w:r>
        <w:rPr>
          <w:rFonts w:ascii="仿宋_GB2312" w:hAnsi="仿宋_GB2312" w:cs="仿宋_GB2312" w:eastAsia="仿宋_GB2312"/>
          <w:sz w:val="15"/>
          <w:b/>
        </w:rPr>
        <w:t>西安市应急管理局（本级）</w:t>
      </w:r>
    </w:p>
    <w:p>
      <w:pPr>
        <w:pStyle w:val="null3"/>
        <w:jc w:val="center"/>
        <w:outlineLvl w:val="5"/>
      </w:pPr>
      <w:r>
        <w:rPr>
          <w:rFonts w:ascii="仿宋_GB2312" w:hAnsi="仿宋_GB2312" w:cs="仿宋_GB2312" w:eastAsia="仿宋_GB2312"/>
          <w:sz w:val="15"/>
          <w:b/>
        </w:rPr>
        <w:t>陕西泾河泽悦项目管理有限公司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2025年07月23日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陕西泾河泽悦项目管理有限公司</w:t>
      </w:r>
      <w:r>
        <w:rPr>
          <w:rFonts w:ascii="仿宋_GB2312" w:hAnsi="仿宋_GB2312" w:cs="仿宋_GB2312" w:eastAsia="仿宋_GB2312"/>
        </w:rPr>
        <w:t>（以下简称“代理机构”）受</w:t>
      </w:r>
      <w:r>
        <w:rPr>
          <w:rFonts w:ascii="仿宋_GB2312" w:hAnsi="仿宋_GB2312" w:cs="仿宋_GB2312" w:eastAsia="仿宋_GB2312"/>
        </w:rPr>
        <w:t>西安市应急管理局（本级）</w:t>
      </w:r>
      <w:r>
        <w:rPr>
          <w:rFonts w:ascii="仿宋_GB2312" w:hAnsi="仿宋_GB2312" w:cs="仿宋_GB2312" w:eastAsia="仿宋_GB2312"/>
        </w:rPr>
        <w:t>委托，拟对</w:t>
      </w:r>
      <w:r>
        <w:rPr>
          <w:rFonts w:ascii="仿宋_GB2312" w:hAnsi="仿宋_GB2312" w:cs="仿宋_GB2312" w:eastAsia="仿宋_GB2312"/>
        </w:rPr>
        <w:t>西安市应急救援防汛抢险驻训备勤项目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JHZY-ZB-2025-010</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西安市应急救援防汛抢险驻训备勤项目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根据 2025年气象形势分析，西安市自然灾害抢险救援工作总体形势严峻，为切实保障人民群众的生命财产安全，由请中国安能集团第三工程局有限公司作为主体单位,在西安区域前置救援队员 50 人，携装备20 台套，负责西安市防汛抢险救灾、地震地质灾害救援、防灾减灾知识宣讲、应急救援队伍域训、急预案演练等任务。</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1、营业执照等主体资格证明文件：提供合格有效的法人或者其他组织的营业执照等证明文件，自然人的身份证明；</w:t>
      </w:r>
    </w:p>
    <w:p>
      <w:pPr>
        <w:pStyle w:val="null3"/>
      </w:pPr>
      <w:r>
        <w:rPr>
          <w:rFonts w:ascii="仿宋_GB2312" w:hAnsi="仿宋_GB2312" w:cs="仿宋_GB2312" w:eastAsia="仿宋_GB2312"/>
        </w:rPr>
        <w:t>2、法定代表人授权委托书：提供法定代表人授权书（附法定代表人、被授权人身份证复印件），法定代表人直接参加投标，须提供法定代表人身份证明；</w:t>
      </w:r>
    </w:p>
    <w:p>
      <w:pPr>
        <w:pStyle w:val="null3"/>
      </w:pPr>
      <w:r>
        <w:rPr>
          <w:rFonts w:ascii="仿宋_GB2312" w:hAnsi="仿宋_GB2312" w:cs="仿宋_GB2312" w:eastAsia="仿宋_GB2312"/>
        </w:rPr>
        <w:t>3、财务状况报告：提供2024年度经审计的财务审计报告（成立时间至提交投标文件截止时间不足一年的可提 供成立后任意时段的资产负债表）或开标时间前六个月内银行出具的资信证明；</w:t>
      </w:r>
    </w:p>
    <w:p>
      <w:pPr>
        <w:pStyle w:val="null3"/>
      </w:pPr>
      <w:r>
        <w:rPr>
          <w:rFonts w:ascii="仿宋_GB2312" w:hAnsi="仿宋_GB2312" w:cs="仿宋_GB2312" w:eastAsia="仿宋_GB2312"/>
        </w:rPr>
        <w:t>4、税收缴纳证明：提供投标截止之日近一年内已缴纳的至少一个月纳税证明或完税证明，依法免税或无须缴纳税收的供应商，应提供相应证明文件；</w:t>
      </w:r>
    </w:p>
    <w:p>
      <w:pPr>
        <w:pStyle w:val="null3"/>
      </w:pPr>
      <w:r>
        <w:rPr>
          <w:rFonts w:ascii="仿宋_GB2312" w:hAnsi="仿宋_GB2312" w:cs="仿宋_GB2312" w:eastAsia="仿宋_GB2312"/>
        </w:rPr>
        <w:t>5、社会保障资金缴纳证明：提供投标截止之日近一年内已缴存的至少一个月的社会保障资金缴存单据或社保机构开具的社会保险参保缴费情况证明，依法不需要缴纳社会保障资金的单位应提供相关证明材料；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企业信用：供应商不得列入“信用中国”严重失信主体名单、不得列入“中国执行信息公开网”失信被执行人名单（包括供应商及法定代表人），不得为“中国政府采购网”政府采购严重违法失信行为记录名单中被财政部门禁止参加政府采购活动的供应商；</w:t>
      </w:r>
    </w:p>
    <w:p>
      <w:pPr>
        <w:pStyle w:val="null3"/>
      </w:pPr>
      <w:r>
        <w:rPr>
          <w:rFonts w:ascii="仿宋_GB2312" w:hAnsi="仿宋_GB2312" w:cs="仿宋_GB2312" w:eastAsia="仿宋_GB2312"/>
        </w:rPr>
        <w:t>7、无重大违法声明：参加政府采购活动前3年内，在经营活动中没有重大违法记录的书面声明；</w:t>
      </w:r>
    </w:p>
    <w:p>
      <w:pPr>
        <w:pStyle w:val="null3"/>
      </w:pPr>
      <w:r>
        <w:rPr>
          <w:rFonts w:ascii="仿宋_GB2312" w:hAnsi="仿宋_GB2312" w:cs="仿宋_GB2312" w:eastAsia="仿宋_GB2312"/>
        </w:rPr>
        <w:t>8、专业技术能力承诺：提供具有履行合同所必需的设备和专业技术能力的承诺函；</w:t>
      </w:r>
    </w:p>
    <w:p>
      <w:pPr>
        <w:pStyle w:val="null3"/>
      </w:pPr>
      <w:r>
        <w:rPr>
          <w:rFonts w:ascii="仿宋_GB2312" w:hAnsi="仿宋_GB2312" w:cs="仿宋_GB2312" w:eastAsia="仿宋_GB2312"/>
        </w:rPr>
        <w:t>9、非联合体：本项目不接受联合体响应（需提供承诺书）。</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西安市应急管理局（本级）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陕西省西安市未央区凤城八路旭辉中心2号楼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张旭昌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029-86517083</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陕西泾河泽悦项目管理有限公司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陕西省西安市未央区北二环华帝金座A座903室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029-68656808</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采购包1：2,000,000.00元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采购包1：2,000,000.00元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单位中标金额为基数,参照《国家计委关于印发&lt;招标代理服务收费管理暂行办法&gt;的通知》（计价格【2002】1980号）、国家发展改革委办公厅关于招标代理服务收费有关问题的通知发改办价格【2003】857号、《国家发改委关于降低部分建设项目收费标准规范收费行为等有关问题的通知》（发改价格[2011]534号）标准计取。中标单位在领取中标通知书前，须向采购代理机构一次性支付代理服务费。</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西安市应急管理局（本级）</w:t>
      </w:r>
      <w:r>
        <w:rPr>
          <w:rFonts w:ascii="仿宋_GB2312" w:hAnsi="仿宋_GB2312" w:cs="仿宋_GB2312" w:eastAsia="仿宋_GB2312"/>
        </w:rPr>
        <w:t>和</w:t>
      </w:r>
      <w:r>
        <w:rPr>
          <w:rFonts w:ascii="仿宋_GB2312" w:hAnsi="仿宋_GB2312" w:cs="仿宋_GB2312" w:eastAsia="仿宋_GB2312"/>
        </w:rPr>
        <w:t>陕西泾河泽悦项目管理有限公司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陕西泾河泽悦项目管理有限公司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西安市应急管理局（本级）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陕西泾河泽悦项目管理有限公司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按照招标文件、响应文件及合同约定内容等进行验收 。</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陕西泾河泽悦项目管理有限公司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陕西泾河泽悦项目管理有限公司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陕西泾河泽悦项目管理有限公司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根据2025年气象形势分析，西安市自然灾害抢险救援工作总体形势严峻，为切实保障人民群众的生命财产安全，由请中国安能集团第三工程局有限公司作为主体单位，在西安区域前置救援队员50人，携装备20台套，负责西安市防汛抢险救灾、地震地质灾害救援、防灾减灾知识宣讲、应急救援队伍培训、应急预案演练等任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2,000,000.00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西安市应急救援防汛抢险驻训备勤项目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标的名称：西安市应急救援防汛抢险驻训备勤项目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rPr>
              <w:t>驻训备勤</w:t>
            </w:r>
            <w:r>
              <w:rPr>
                <w:rFonts w:ascii="仿宋_GB2312" w:hAnsi="仿宋_GB2312" w:cs="仿宋_GB2312" w:eastAsia="仿宋_GB2312"/>
                <w:sz w:val="24"/>
                <w:color w:val="000000"/>
              </w:rPr>
              <w:t>防汛备战：</w:t>
            </w:r>
          </w:p>
          <w:p>
            <w:pPr>
              <w:pStyle w:val="null3"/>
              <w:ind w:firstLine="480"/>
              <w:jc w:val="left"/>
            </w:pPr>
            <w:r>
              <w:rPr>
                <w:rFonts w:ascii="仿宋_GB2312" w:hAnsi="仿宋_GB2312" w:cs="仿宋_GB2312" w:eastAsia="仿宋_GB2312"/>
                <w:sz w:val="24"/>
              </w:rPr>
              <w:t>组织50人调配20台套装备，做好驻训备勤及防汛备战工作。</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完善驻训期间应急救援防汛备勤工作方案；</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落实人员24小时值班值守，保持人员在位率，周末及节假日备勤率不少于60%，特殊时段备勤率不少于95%；</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严格装备“三定”制度，做好维护保养，确保装备器材时刻处于良好状态；</w:t>
            </w:r>
          </w:p>
          <w:p>
            <w:pPr>
              <w:pStyle w:val="null3"/>
            </w:pPr>
            <w:r>
              <w:rPr>
                <w:rFonts w:ascii="仿宋_GB2312" w:hAnsi="仿宋_GB2312" w:cs="仿宋_GB2312" w:eastAsia="仿宋_GB2312"/>
                <w:sz w:val="24"/>
              </w:rPr>
              <w:t>4.</w:t>
            </w:r>
            <w:r>
              <w:rPr>
                <w:rFonts w:ascii="仿宋_GB2312" w:hAnsi="仿宋_GB2312" w:cs="仿宋_GB2312" w:eastAsia="仿宋_GB2312"/>
                <w:sz w:val="24"/>
              </w:rPr>
              <w:t>抓好战备训练，制定周、月训练计划，按训练计划实施，强</w:t>
            </w:r>
            <w:r>
              <w:rPr>
                <w:rFonts w:ascii="仿宋_GB2312" w:hAnsi="仿宋_GB2312" w:cs="仿宋_GB2312" w:eastAsia="仿宋_GB2312"/>
                <w:sz w:val="24"/>
                <w:color w:val="000000"/>
              </w:rPr>
              <w:t>化提升救援技能。</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4"/>
              </w:rPr>
              <w:t>应急宣讲：</w:t>
            </w:r>
          </w:p>
          <w:p>
            <w:pPr>
              <w:pStyle w:val="null3"/>
            </w:pPr>
            <w:r>
              <w:rPr>
                <w:rFonts w:ascii="仿宋_GB2312" w:hAnsi="仿宋_GB2312" w:cs="仿宋_GB2312" w:eastAsia="仿宋_GB2312"/>
                <w:sz w:val="24"/>
              </w:rPr>
              <w:t>对接相关区县应急部门，在全市街办、社区、村镇，围绕“四个一”，即：一堂应急教育课、一场应急安全常识培训、一次应急技能实操、一场政企联动行动，开展“百村千户万人”应急常识宣讲活动，构建“人人讲安全、个个会应急”的安全防线。</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4"/>
              </w:rPr>
              <w:t>演练演训：</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根据市局及相关区县应急管理局年度演练活动安排，出动人员、装备配合开展联合拉动、防汛、地震等应急救援演练，演练期间参与演练实施方案制定、演练场地平整、相关科目演示等工作。</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根据月度实战演练计划，联合其他队伍开展侦测、响应、前出等协同内容实施，积极参与应急管理局月度演练活动。</w:t>
            </w:r>
          </w:p>
          <w:p>
            <w:pPr>
              <w:pStyle w:val="null3"/>
            </w:pPr>
            <w:r>
              <w:rPr>
                <w:rFonts w:ascii="仿宋_GB2312" w:hAnsi="仿宋_GB2312" w:cs="仿宋_GB2312" w:eastAsia="仿宋_GB2312"/>
                <w:sz w:val="24"/>
              </w:rPr>
              <w:t>3.</w:t>
            </w:r>
            <w:r>
              <w:rPr>
                <w:rFonts w:ascii="仿宋_GB2312" w:hAnsi="仿宋_GB2312" w:cs="仿宋_GB2312" w:eastAsia="仿宋_GB2312"/>
                <w:sz w:val="24"/>
              </w:rPr>
              <w:t>配合开展山地搜救、无人机救援技能比武活动，组织实施防汛、森林灭火技能比武活动，做好活动过程执裁及过程资料汇总报备等相关工作。</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sz w:val="24"/>
              </w:rPr>
              <w:t>综合检查：</w:t>
            </w:r>
          </w:p>
          <w:p>
            <w:pPr>
              <w:pStyle w:val="null3"/>
            </w:pPr>
            <w:r>
              <w:rPr>
                <w:rFonts w:ascii="仿宋_GB2312" w:hAnsi="仿宋_GB2312" w:cs="仿宋_GB2312" w:eastAsia="仿宋_GB2312"/>
                <w:sz w:val="24"/>
              </w:rPr>
              <w:t>根据市应急管理局工作安排，积极加入省市应急管理系统组织的安全专项检查及防汛督导检查等，开展防火、防汛及隐患排查治理等专项检查，提出整改的意见建议。</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sz w:val="24"/>
              </w:rPr>
              <w:t>备勤抢险救援：</w:t>
            </w:r>
          </w:p>
          <w:p>
            <w:pPr>
              <w:pStyle w:val="null3"/>
              <w:ind w:firstLine="480"/>
              <w:jc w:val="left"/>
            </w:pPr>
            <w:r>
              <w:rPr>
                <w:rFonts w:ascii="仿宋_GB2312" w:hAnsi="仿宋_GB2312" w:cs="仿宋_GB2312" w:eastAsia="仿宋_GB2312"/>
                <w:sz w:val="24"/>
              </w:rPr>
              <w:t>遇有突发事件，根据市应急管理局要求，做好抢险救援。</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接到任务后：迅速集结人员、编组装备，分析研判灾情、部署工作任务，第一时间到达指定区域，制定现场抢险方案；</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到达救援现场后：西安基地50人、20台套装备为先期处置力量，武汉基地、成都基地、重庆基地根据灾情情况为支援力量；机动方式，采取铁路运输+摩托化行军方式为主，空中输送方式为辅；严密组织、安全高效救援；</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救援任务完成后：制定撤离计划、清理现场、清点物资装备，做好任务总结，宣传表彰等工作。</w:t>
            </w:r>
          </w:p>
          <w:p>
            <w:pPr>
              <w:pStyle w:val="null3"/>
            </w:pPr>
            <w:r>
              <w:rPr>
                <w:rFonts w:ascii="仿宋_GB2312" w:hAnsi="仿宋_GB2312" w:cs="仿宋_GB2312" w:eastAsia="仿宋_GB2312"/>
                <w:sz w:val="24"/>
              </w:rPr>
              <w:t>4.</w:t>
            </w:r>
            <w:r>
              <w:rPr>
                <w:rFonts w:ascii="仿宋_GB2312" w:hAnsi="仿宋_GB2312" w:cs="仿宋_GB2312" w:eastAsia="仿宋_GB2312"/>
                <w:sz w:val="24"/>
              </w:rPr>
              <w:t>备勤期外：参与地震、地质等重大自然灾害导致的堤坝决口、堰塞湖、滑坡坍塌</w:t>
            </w:r>
            <w:r>
              <w:rPr>
                <w:rFonts w:ascii="仿宋_GB2312" w:hAnsi="仿宋_GB2312" w:cs="仿宋_GB2312" w:eastAsia="仿宋_GB2312"/>
                <w:sz w:val="24"/>
                <w:color w:val="000000"/>
              </w:rPr>
              <w:t xml:space="preserve"> 、泥石流等应急工程抢险救援任务。</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ind w:firstLine="480"/>
              <w:jc w:val="left"/>
            </w:pPr>
            <w:r>
              <w:rPr>
                <w:rFonts w:ascii="仿宋_GB2312" w:hAnsi="仿宋_GB2312" w:cs="仿宋_GB2312" w:eastAsia="仿宋_GB2312"/>
                <w:sz w:val="24"/>
              </w:rPr>
              <w:t>队伍培训：</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积极参与市应急管理局组织的队伍培训，并根据培训课程计划，协调安能集团相关人员参与授课；</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借鉴、学习、复制安能三局成熟基地好的做法，积极开展人员内部培训及练兵比武活动，提升人员综合素质能力；</w:t>
            </w:r>
          </w:p>
          <w:p>
            <w:pPr>
              <w:pStyle w:val="null3"/>
            </w:pPr>
            <w:r>
              <w:rPr>
                <w:rFonts w:ascii="仿宋_GB2312" w:hAnsi="仿宋_GB2312" w:cs="仿宋_GB2312" w:eastAsia="仿宋_GB2312"/>
                <w:sz w:val="24"/>
              </w:rPr>
              <w:t>3.</w:t>
            </w:r>
            <w:r>
              <w:rPr>
                <w:rFonts w:ascii="仿宋_GB2312" w:hAnsi="仿宋_GB2312" w:cs="仿宋_GB2312" w:eastAsia="仿宋_GB2312"/>
                <w:sz w:val="24"/>
              </w:rPr>
              <w:t>与其他市级应急救援队伍常走动、多沟通，通过座谈交流、技能演练、参观见学等形式，营造“比学赶帮超”氛围，取长补短、相互学习、共同提高。</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sz w:val="24"/>
              </w:rPr>
              <w:t>指挥部搭设：</w:t>
            </w:r>
          </w:p>
          <w:p>
            <w:pPr>
              <w:pStyle w:val="null3"/>
            </w:pPr>
            <w:r>
              <w:rPr>
                <w:rFonts w:ascii="仿宋_GB2312" w:hAnsi="仿宋_GB2312" w:cs="仿宋_GB2312" w:eastAsia="仿宋_GB2312"/>
                <w:sz w:val="24"/>
              </w:rPr>
              <w:t>在演训演练、抢险救援等任务中，做好临时指挥部搭设等相关保障工作。管理代储指挥部帐篷等装备器材。</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按照服务要求执行。</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按照服务要求执行。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自合同签订之日起至120日止。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自行组织验收。</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甲、乙双方应首先通过友好协商解决;如果协商不能解决争议，向西安市仲裁委员会按其仲裁规则申请仲裁。</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特定资格证明文件.docx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w:t>
            </w:r>
          </w:p>
        </w:tc>
        <w:tc>
          <w:tcPr>
            <w:tcW w:type="dxa" w:w="1661"/>
          </w:tcPr>
          <w:p>
            <w:pPr>
              <w:pStyle w:val="null3"/>
            </w:pPr>
            <w:r>
              <w:rPr>
                <w:rFonts w:ascii="仿宋_GB2312" w:hAnsi="仿宋_GB2312" w:cs="仿宋_GB2312" w:eastAsia="仿宋_GB2312"/>
              </w:rPr>
              <w:t>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提供2024年度经审计的财务审计报告（成立时间至提交投标文件截止时间不足一年的可提 供成立后任意时段的资产负债表）或开标时间前六个月内银行出具的资信证明；</w:t>
            </w:r>
          </w:p>
        </w:tc>
        <w:tc>
          <w:tcPr>
            <w:tcW w:type="dxa" w:w="1661"/>
          </w:tcPr>
          <w:p>
            <w:pPr>
              <w:pStyle w:val="null3"/>
            </w:pPr>
            <w:r>
              <w:rPr>
                <w:rFonts w:ascii="仿宋_GB2312" w:hAnsi="仿宋_GB2312" w:cs="仿宋_GB2312" w:eastAsia="仿宋_GB2312"/>
              </w:rPr>
              <w:t>特定资格证明文件.docx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提供投标截止之日近一年内已缴纳的至少一个月纳税证明或完税证明，依法免税或无须缴纳税收的供应商，应提供相应证明文件；</w:t>
            </w:r>
          </w:p>
        </w:tc>
        <w:tc>
          <w:tcPr>
            <w:tcW w:type="dxa" w:w="1661"/>
          </w:tcPr>
          <w:p>
            <w:pPr>
              <w:pStyle w:val="null3"/>
            </w:pPr>
            <w:r>
              <w:rPr>
                <w:rFonts w:ascii="仿宋_GB2312" w:hAnsi="仿宋_GB2312" w:cs="仿宋_GB2312" w:eastAsia="仿宋_GB2312"/>
              </w:rPr>
              <w:t>特定资格证明文件.docx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提供投标截止之日近一年内已缴存的至少一个月的社会保障资金缴存单据或社保机构开具的社会保险参保缴费情况证明，依法不需要缴纳社会保障资金的单位应提供相关证明材料；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特定资格证明文件.docx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企业信用</w:t>
            </w:r>
          </w:p>
        </w:tc>
        <w:tc>
          <w:tcPr>
            <w:tcW w:type="dxa" w:w="3322"/>
          </w:tcPr>
          <w:p>
            <w:pPr>
              <w:pStyle w:val="null3"/>
            </w:pPr>
            <w:r>
              <w:rPr>
                <w:rFonts w:ascii="仿宋_GB2312" w:hAnsi="仿宋_GB2312" w:cs="仿宋_GB2312" w:eastAsia="仿宋_GB2312"/>
              </w:rPr>
              <w:t>供应商不得列入“信用中国”严重失信主体名单、不得列入“中国执行信息公开网”失信被执行人名单（包括供应商及法定代表人），不得为“中国政府采购网”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特定资格证明文件.docx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特定资格证明文件.docx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专业技术能力承诺</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特定资格证明文件.docx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本项目不接受联合体响应（需提供承诺书）。</w:t>
            </w:r>
          </w:p>
        </w:tc>
        <w:tc>
          <w:tcPr>
            <w:tcW w:type="dxa" w:w="1661"/>
          </w:tcPr>
          <w:p>
            <w:pPr>
              <w:pStyle w:val="null3"/>
            </w:pPr>
            <w:r>
              <w:rPr>
                <w:rFonts w:ascii="仿宋_GB2312" w:hAnsi="仿宋_GB2312" w:cs="仿宋_GB2312" w:eastAsia="仿宋_GB2312"/>
              </w:rPr>
              <w:t>特定资格证明文件.docx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单一来源响应文件的完整性</w:t>
            </w:r>
          </w:p>
        </w:tc>
        <w:tc>
          <w:tcPr>
            <w:tcW w:type="dxa" w:w="3322"/>
          </w:tcPr>
          <w:p>
            <w:pPr>
              <w:pStyle w:val="null3"/>
            </w:pPr>
            <w:r>
              <w:rPr>
                <w:rFonts w:ascii="仿宋_GB2312" w:hAnsi="仿宋_GB2312" w:cs="仿宋_GB2312" w:eastAsia="仿宋_GB2312"/>
              </w:rPr>
              <w:t>单一来源响应文件的完整性（单一来源文件内容齐全、格式完整）</w:t>
            </w:r>
          </w:p>
        </w:tc>
        <w:tc>
          <w:tcPr>
            <w:tcW w:type="dxa" w:w="1661"/>
          </w:tcPr>
          <w:p>
            <w:pPr>
              <w:pStyle w:val="null3"/>
            </w:pPr>
            <w:r>
              <w:rPr>
                <w:rFonts w:ascii="仿宋_GB2312" w:hAnsi="仿宋_GB2312" w:cs="仿宋_GB2312" w:eastAsia="仿宋_GB2312"/>
              </w:rPr>
              <w:t>服务内容及服务邀请应答表 中小企业声明函 商务应答表 特定资格证明文件.docx 供应商应提交的相关资格证明材料 报价表 其他.docx 响应文件封面 残疾人福利性单位声明函 服务方案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单一来源响应文件的有效性</w:t>
            </w:r>
          </w:p>
        </w:tc>
        <w:tc>
          <w:tcPr>
            <w:tcW w:type="dxa" w:w="3322"/>
          </w:tcPr>
          <w:p>
            <w:pPr>
              <w:pStyle w:val="null3"/>
            </w:pPr>
            <w:r>
              <w:rPr>
                <w:rFonts w:ascii="仿宋_GB2312" w:hAnsi="仿宋_GB2312" w:cs="仿宋_GB2312" w:eastAsia="仿宋_GB2312"/>
              </w:rPr>
              <w:t>单一来源响应文件的有效性（签字、时间、章等）</w:t>
            </w:r>
          </w:p>
        </w:tc>
        <w:tc>
          <w:tcPr>
            <w:tcW w:type="dxa" w:w="1661"/>
          </w:tcPr>
          <w:p>
            <w:pPr>
              <w:pStyle w:val="null3"/>
            </w:pPr>
            <w:r>
              <w:rPr>
                <w:rFonts w:ascii="仿宋_GB2312" w:hAnsi="仿宋_GB2312" w:cs="仿宋_GB2312" w:eastAsia="仿宋_GB2312"/>
              </w:rPr>
              <w:t>响应文件封面 服务内容及服务邀请应答表 商务应答表 服务方案 特定资格证明文件.docx 供应商应提交的相关资格证明材料 标的清单 报价表 响应函 陕西省政府采购供应商拒绝政府采购领域商业贿赂承诺书.docx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单一来源响应文件的响应性</w:t>
            </w:r>
          </w:p>
        </w:tc>
        <w:tc>
          <w:tcPr>
            <w:tcW w:type="dxa" w:w="3322"/>
          </w:tcPr>
          <w:p>
            <w:pPr>
              <w:pStyle w:val="null3"/>
            </w:pPr>
            <w:r>
              <w:rPr>
                <w:rFonts w:ascii="仿宋_GB2312" w:hAnsi="仿宋_GB2312" w:cs="仿宋_GB2312" w:eastAsia="仿宋_GB2312"/>
              </w:rPr>
              <w:t>单一来源响应文件的响应性（是否存在实质性 偏离、缺项、漏项等）</w:t>
            </w:r>
          </w:p>
        </w:tc>
        <w:tc>
          <w:tcPr>
            <w:tcW w:type="dxa" w:w="1661"/>
          </w:tcPr>
          <w:p>
            <w:pPr>
              <w:pStyle w:val="null3"/>
            </w:pPr>
            <w:r>
              <w:rPr>
                <w:rFonts w:ascii="仿宋_GB2312" w:hAnsi="仿宋_GB2312" w:cs="仿宋_GB2312" w:eastAsia="仿宋_GB2312"/>
              </w:rPr>
              <w:t>响应文件封面 服务内容及服务邀请应答表 商务应答表 服务方案 特定资格证明文件.docx 供应商应提交的相关资格证明材料 标的清单 报价表 响应函 陕西省政府采购供应商拒绝政府采购领域商业贿赂承诺书.docx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详见附件：特定资格证明文件.docx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详见附件：其他.docx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详见附件：服务合同-西安市应急救援防汛抢险驻训备勤项目.docx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