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版本号：TZZB-2025210C20250724001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西安丝路老字号国潮消费嘉年华活动项目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TZZB-2025210C</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西安丝路老字号国潮消费嘉年华活动项目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TZZB-2025210C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西安丝路老字号国潮消费嘉年华活动项目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活动作为“西悦购·趣长安”系列活动重要组成部分，拟于2025欧亚经济论坛前后，结合杭州、西安、昆明三城文化特色与商业资源，通过“三城联动·焕新消费”主题活动，邀请全国老字号与西安老字号知名品牌荟聚西安，开展为期3天的国潮促消费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采购包1（西安丝路老字号国潮消费嘉年华活动项目）：属于专门面向中小企业采购。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2、供应商代表身份证明：法定代表人参加投标时，提供本人身份证；授权代表参加投标时，提供法定代表人授权书和被授权人身份证；非法人单位参照执行；</w:t>
      </w:r>
    </w:p>
    <w:p>
      <w:pPr>
        <w:pStyle w:val="null3"/>
      </w:pPr>
      <w:r>
        <w:rPr>
          <w:rFonts w:ascii="仿宋_GB2312" w:hAnsi="仿宋_GB2312" w:cs="仿宋_GB2312" w:eastAsia="仿宋_GB2312"/>
        </w:rPr>
        <w:t>3、税收缴纳证明：提供2024年06月至今已缴纳的至少一个月的纳税证明或完税证明（任意税种），依法免税的单位应提供相关证明材料；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4、社会保障资金缴纳证明：提供2024年06月至今已缴存的至少一个月的社会保障资金缴存单据或社保机构开具的社会保险参保缴费情况证明，依法不需要缴纳社会保障资金的单位应提供相关证明材料；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5、财务状况：提供供应商2023年或者2024年经审计的财务报告或磋商前三个月内开户银行开具的资信证明；</w:t>
      </w:r>
    </w:p>
    <w:p>
      <w:pPr>
        <w:pStyle w:val="null3"/>
      </w:pPr>
      <w:r>
        <w:rPr>
          <w:rFonts w:ascii="仿宋_GB2312" w:hAnsi="仿宋_GB2312" w:cs="仿宋_GB2312" w:eastAsia="仿宋_GB2312"/>
        </w:rPr>
        <w:t>6、经营活动：参加政府采购活动前三年内，在经营活动中没有重大违法记录的书面声明；</w:t>
      </w:r>
    </w:p>
    <w:p>
      <w:pPr>
        <w:pStyle w:val="null3"/>
      </w:pPr>
      <w:r>
        <w:rPr>
          <w:rFonts w:ascii="仿宋_GB2312" w:hAnsi="仿宋_GB2312" w:cs="仿宋_GB2312" w:eastAsia="仿宋_GB2312"/>
        </w:rPr>
        <w:t>7、“信用中国”网站和“中国政府采购网”查询截图：供应商不得为“信用中国”网站（www.creditchina.gov.cn）（中国执行信息公开网）和中国政府采购网（www.ccgp.gov.cn）中被列入失信被执行人、重大税收违法失信主体、政府采购严重违法失信行为记录名单的单位；</w:t>
      </w:r>
    </w:p>
    <w:p>
      <w:pPr>
        <w:pStyle w:val="null3"/>
      </w:pPr>
      <w:r>
        <w:rPr>
          <w:rFonts w:ascii="仿宋_GB2312" w:hAnsi="仿宋_GB2312" w:cs="仿宋_GB2312" w:eastAsia="仿宋_GB2312"/>
        </w:rPr>
        <w:t>8、具有履行合同所必需的设备和专业技术能力：具有履行合同所必需的设备和专业技术能力的承诺函；</w:t>
      </w:r>
    </w:p>
    <w:p>
      <w:pPr>
        <w:pStyle w:val="null3"/>
      </w:pPr>
      <w:r>
        <w:rPr>
          <w:rFonts w:ascii="仿宋_GB2312" w:hAnsi="仿宋_GB2312" w:cs="仿宋_GB2312" w:eastAsia="仿宋_GB2312"/>
        </w:rPr>
        <w:t>9、联合体：本项目不接受联合体磋商（提供承诺书）；</w:t>
      </w:r>
    </w:p>
    <w:p>
      <w:pPr>
        <w:pStyle w:val="null3"/>
      </w:pPr>
      <w:r>
        <w:rPr>
          <w:rFonts w:ascii="仿宋_GB2312" w:hAnsi="仿宋_GB2312" w:cs="仿宋_GB2312" w:eastAsia="仿宋_GB2312"/>
        </w:rPr>
        <w:t>10、中小企业声明函：项目为专门面向中小企业项目，供应商须为中型企业或者小型、微型企业或监狱企业或残疾人福利性单位。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0296-86786529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陕西省西安市未央区西安市经开区凤城八路180号长和国际F座22层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倪莹、王燕、赵淑涵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029-86522030转612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lt;招标代理服务收费管理暂行办法&gt;的通知》(计价格[2002]1980号)及国家发展和改革委员会(发改办价格[2011]534号)文件规定的收费标准计取，不足3300元按3300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联系人：倪莹、王燕、赵淑涵</w:t>
      </w:r>
    </w:p>
    <w:p>
      <w:pPr>
        <w:pStyle w:val="null3"/>
      </w:pPr>
      <w:r>
        <w:rPr>
          <w:rFonts w:ascii="仿宋_GB2312" w:hAnsi="仿宋_GB2312" w:cs="仿宋_GB2312" w:eastAsia="仿宋_GB2312"/>
        </w:rPr>
        <w:t>联系电话：029-86522030转612</w:t>
      </w:r>
    </w:p>
    <w:p>
      <w:pPr>
        <w:pStyle w:val="null3"/>
      </w:pPr>
      <w:r>
        <w:rPr>
          <w:rFonts w:ascii="仿宋_GB2312" w:hAnsi="仿宋_GB2312" w:cs="仿宋_GB2312" w:eastAsia="仿宋_GB2312"/>
        </w:rPr>
        <w:t>地址：陕西省西安市经济技术开发区凤城八路180号长和国际F座22层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活动作为“西悦购·趣长安”系列活动重要组成部分，拟于2025欧亚经济论坛前后，结合杭州、西安、昆明三城文化特色与商业资源，通过“三城联动·焕新消费”主题活动，邀请全国老字号与西安老字号知名品牌荟聚西安，开展为期3天的国潮促消费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邀请全国老字号与西安老字号知名品牌荟聚西安，开展为期3天的国潮促消费活动的策划、组织、宣传等服务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标的名称：邀请全国老字号与西安老字号知名品牌荟聚西安，开展为期3天的国潮促消费活动的策划、组织、宣传等服务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jc w:val="left"/>
            </w:pPr>
            <w:r>
              <w:rPr>
                <w:rFonts w:ascii="仿宋_GB2312" w:hAnsi="仿宋_GB2312" w:cs="仿宋_GB2312" w:eastAsia="仿宋_GB2312"/>
              </w:rPr>
              <w:t>本活动作为</w:t>
            </w:r>
            <w:r>
              <w:rPr>
                <w:rFonts w:ascii="仿宋_GB2312" w:hAnsi="仿宋_GB2312" w:cs="仿宋_GB2312" w:eastAsia="仿宋_GB2312"/>
              </w:rPr>
              <w:t>“西悦购·趣长安”系列活动重要组成部分，拟于2025欧亚经济论坛前后，结合杭州、西安、昆明三城文化特色与商业资源，通过“三城联动·焕新消费”主题活动，邀请全国老字号与西安老字号知名品牌荟聚西安，开展为期3天的国潮促消费活动。</w:t>
            </w:r>
          </w:p>
          <w:p>
            <w:pPr>
              <w:pStyle w:val="null3"/>
              <w:jc w:val="left"/>
            </w:pPr>
            <w:r>
              <w:rPr>
                <w:rFonts w:ascii="仿宋_GB2312" w:hAnsi="仿宋_GB2312" w:cs="仿宋_GB2312" w:eastAsia="仿宋_GB2312"/>
              </w:rPr>
              <w:t>二、服务内容（包括工作区域、工作内容等）</w:t>
            </w:r>
          </w:p>
          <w:p>
            <w:pPr>
              <w:pStyle w:val="null3"/>
              <w:jc w:val="left"/>
            </w:pPr>
            <w:r>
              <w:rPr>
                <w:rFonts w:ascii="仿宋_GB2312" w:hAnsi="仿宋_GB2312" w:cs="仿宋_GB2312" w:eastAsia="仿宋_GB2312"/>
              </w:rPr>
              <w:t>1、根据西安丝路老字号国潮消费嘉年华活动会场情况进行会场策划、设计、搭建，需设置舞台区、不少于50个展位的展销区；</w:t>
            </w:r>
          </w:p>
          <w:p>
            <w:pPr>
              <w:pStyle w:val="null3"/>
              <w:jc w:val="left"/>
            </w:pPr>
            <w:r>
              <w:rPr>
                <w:rFonts w:ascii="仿宋_GB2312" w:hAnsi="仿宋_GB2312" w:cs="仿宋_GB2312" w:eastAsia="仿宋_GB2312"/>
              </w:rPr>
              <w:t>2、根据大会时间安排，合理开展现场活动及氛围营造；</w:t>
            </w:r>
          </w:p>
          <w:p>
            <w:pPr>
              <w:pStyle w:val="null3"/>
              <w:jc w:val="left"/>
            </w:pPr>
            <w:r>
              <w:rPr>
                <w:rFonts w:ascii="仿宋_GB2312" w:hAnsi="仿宋_GB2312" w:cs="仿宋_GB2312" w:eastAsia="仿宋_GB2312"/>
              </w:rPr>
              <w:t>3、根据活动要求，面向全国邀请老字号与西安老字号知名品牌参展；</w:t>
            </w:r>
          </w:p>
          <w:p>
            <w:pPr>
              <w:pStyle w:val="null3"/>
              <w:jc w:val="left"/>
            </w:pPr>
            <w:r>
              <w:rPr>
                <w:rFonts w:ascii="仿宋_GB2312" w:hAnsi="仿宋_GB2312" w:cs="仿宋_GB2312" w:eastAsia="仿宋_GB2312"/>
              </w:rPr>
              <w:t>4、根据实际需要，合理安排各地嘉宾交通、住宿等会务配套服务；</w:t>
            </w:r>
          </w:p>
          <w:p>
            <w:pPr>
              <w:pStyle w:val="null3"/>
              <w:jc w:val="left"/>
            </w:pPr>
            <w:r>
              <w:rPr>
                <w:rFonts w:ascii="仿宋_GB2312" w:hAnsi="仿宋_GB2312" w:cs="仿宋_GB2312" w:eastAsia="仿宋_GB2312"/>
              </w:rPr>
              <w:t>5、根据活动内容，制作相关宣传物料。需充分考虑宣传物料的文化感、设计感与材质，内容需紧扣主题；</w:t>
            </w:r>
          </w:p>
          <w:p>
            <w:pPr>
              <w:pStyle w:val="null3"/>
              <w:jc w:val="left"/>
            </w:pPr>
            <w:r>
              <w:rPr>
                <w:rFonts w:ascii="仿宋_GB2312" w:hAnsi="仿宋_GB2312" w:cs="仿宋_GB2312" w:eastAsia="仿宋_GB2312"/>
              </w:rPr>
              <w:t>三、技术要求</w:t>
            </w:r>
          </w:p>
          <w:p>
            <w:pPr>
              <w:pStyle w:val="null3"/>
              <w:jc w:val="left"/>
            </w:pPr>
            <w:r>
              <w:rPr>
                <w:rFonts w:ascii="仿宋_GB2312" w:hAnsi="仿宋_GB2312" w:cs="仿宋_GB2312" w:eastAsia="仿宋_GB2312"/>
              </w:rPr>
              <w:t xml:space="preserve">  具有全国老字号及西安老字号邀约能力，具备类似活动策划、组织、服务及宣传能力，提供营业执照。</w:t>
            </w:r>
          </w:p>
          <w:p>
            <w:pPr>
              <w:pStyle w:val="null3"/>
              <w:jc w:val="left"/>
            </w:pPr>
            <w:r>
              <w:rPr>
                <w:rFonts w:ascii="仿宋_GB2312" w:hAnsi="仿宋_GB2312" w:cs="仿宋_GB2312" w:eastAsia="仿宋_GB2312"/>
              </w:rPr>
              <w:t>四、服务要求（如对人员配置、专业设备、服务标准等）</w:t>
            </w:r>
          </w:p>
          <w:p>
            <w:pPr>
              <w:pStyle w:val="null3"/>
              <w:jc w:val="left"/>
            </w:pPr>
            <w:r>
              <w:rPr>
                <w:rFonts w:ascii="仿宋_GB2312" w:hAnsi="仿宋_GB2312" w:cs="仿宋_GB2312" w:eastAsia="仿宋_GB2312"/>
              </w:rPr>
              <w:t>1、具有会展规划设计人员、搭建人员、会场服务人员、策划宣传人员等 ；</w:t>
            </w:r>
          </w:p>
          <w:p>
            <w:pPr>
              <w:pStyle w:val="null3"/>
              <w:jc w:val="left"/>
            </w:pPr>
            <w:r>
              <w:rPr>
                <w:rFonts w:ascii="仿宋_GB2312" w:hAnsi="仿宋_GB2312" w:cs="仿宋_GB2312" w:eastAsia="仿宋_GB2312"/>
              </w:rPr>
              <w:t>2、有固定的办公场所和必要的设施条件；</w:t>
            </w:r>
          </w:p>
          <w:p>
            <w:pPr>
              <w:pStyle w:val="null3"/>
              <w:jc w:val="left"/>
            </w:pPr>
            <w:r>
              <w:rPr>
                <w:rFonts w:ascii="仿宋_GB2312" w:hAnsi="仿宋_GB2312" w:cs="仿宋_GB2312" w:eastAsia="仿宋_GB2312"/>
              </w:rPr>
              <w:t>3、材料真实性承诺书；</w:t>
            </w:r>
          </w:p>
          <w:p>
            <w:pPr>
              <w:pStyle w:val="null3"/>
              <w:jc w:val="left"/>
            </w:pPr>
            <w:r>
              <w:rPr>
                <w:rFonts w:ascii="仿宋_GB2312" w:hAnsi="仿宋_GB2312" w:cs="仿宋_GB2312" w:eastAsia="仿宋_GB2312"/>
              </w:rPr>
              <w:t>4、供应商提供服务过程中，不得借机推销其他业务或者设备，不得向涉及企业收取费用，项目结束后不得再以委托方名义进行商业活动。</w:t>
            </w:r>
          </w:p>
          <w:p>
            <w:pPr>
              <w:pStyle w:val="null3"/>
              <w:jc w:val="left"/>
            </w:pPr>
            <w:r>
              <w:rPr>
                <w:rFonts w:ascii="仿宋_GB2312" w:hAnsi="仿宋_GB2312" w:cs="仿宋_GB2312" w:eastAsia="仿宋_GB2312"/>
              </w:rPr>
              <w:t>五、商务要求（如服务期限、款项结算等）</w:t>
            </w:r>
          </w:p>
          <w:p>
            <w:pPr>
              <w:pStyle w:val="null3"/>
              <w:jc w:val="left"/>
            </w:pPr>
            <w:r>
              <w:rPr>
                <w:rFonts w:ascii="仿宋_GB2312" w:hAnsi="仿宋_GB2312" w:cs="仿宋_GB2312" w:eastAsia="仿宋_GB2312"/>
              </w:rPr>
              <w:t>（一）服务期限：自合同签订之日起至项目结束</w:t>
            </w:r>
          </w:p>
          <w:p>
            <w:pPr>
              <w:pStyle w:val="null3"/>
            </w:pPr>
            <w:r>
              <w:rPr>
                <w:rFonts w:ascii="仿宋_GB2312" w:hAnsi="仿宋_GB2312" w:cs="仿宋_GB2312" w:eastAsia="仿宋_GB2312"/>
              </w:rPr>
              <w:t>（二）服务地点</w:t>
            </w:r>
            <w:r>
              <w:rPr>
                <w:rFonts w:ascii="仿宋_GB2312" w:hAnsi="仿宋_GB2312" w:cs="仿宋_GB2312" w:eastAsia="仿宋_GB2312"/>
              </w:rPr>
              <w:t>：采购人指定地点</w:t>
            </w:r>
          </w:p>
          <w:p>
            <w:pPr>
              <w:pStyle w:val="null3"/>
              <w:jc w:val="left"/>
            </w:pPr>
            <w:r>
              <w:rPr>
                <w:rFonts w:ascii="仿宋_GB2312" w:hAnsi="仿宋_GB2312" w:cs="仿宋_GB2312" w:eastAsia="仿宋_GB2312"/>
              </w:rPr>
              <w:t>（三）款项结算：</w:t>
            </w:r>
          </w:p>
          <w:p>
            <w:pPr>
              <w:pStyle w:val="null3"/>
              <w:jc w:val="left"/>
            </w:pPr>
            <w:r>
              <w:rPr>
                <w:rFonts w:ascii="仿宋_GB2312" w:hAnsi="仿宋_GB2312" w:cs="仿宋_GB2312" w:eastAsia="仿宋_GB2312"/>
              </w:rPr>
              <w:t>合同签订后十五个工作日</w:t>
            </w:r>
            <w:r>
              <w:rPr>
                <w:rFonts w:ascii="仿宋_GB2312" w:hAnsi="仿宋_GB2312" w:cs="仿宋_GB2312" w:eastAsia="仿宋_GB2312"/>
              </w:rPr>
              <w:t>收到供应商提供的合规发票，</w:t>
            </w:r>
            <w:r>
              <w:rPr>
                <w:rFonts w:ascii="仿宋_GB2312" w:hAnsi="仿宋_GB2312" w:cs="仿宋_GB2312" w:eastAsia="仿宋_GB2312"/>
              </w:rPr>
              <w:t>支付</w:t>
            </w:r>
            <w:r>
              <w:rPr>
                <w:rFonts w:ascii="仿宋_GB2312" w:hAnsi="仿宋_GB2312" w:cs="仿宋_GB2312" w:eastAsia="仿宋_GB2312"/>
              </w:rPr>
              <w:t>50%合同款；活动结束且验收合格后，收到供应商提供的合规发票15个工作日内支付其余50%合同价款。</w:t>
            </w:r>
          </w:p>
          <w:p>
            <w:pPr>
              <w:pStyle w:val="null3"/>
              <w:jc w:val="left"/>
            </w:pPr>
            <w:r>
              <w:rPr>
                <w:rFonts w:ascii="仿宋_GB2312" w:hAnsi="仿宋_GB2312" w:cs="仿宋_GB2312" w:eastAsia="仿宋_GB2312"/>
              </w:rPr>
              <w:t>六、其他要求</w:t>
            </w:r>
          </w:p>
          <w:p>
            <w:pPr>
              <w:pStyle w:val="null3"/>
              <w:jc w:val="left"/>
            </w:pPr>
            <w:r>
              <w:rPr>
                <w:rFonts w:ascii="仿宋_GB2312" w:hAnsi="仿宋_GB2312" w:cs="仿宋_GB2312" w:eastAsia="仿宋_GB2312"/>
              </w:rPr>
              <w:t>（一）对服务商的要求：</w:t>
            </w:r>
          </w:p>
          <w:p>
            <w:pPr>
              <w:pStyle w:val="null3"/>
              <w:jc w:val="left"/>
            </w:pPr>
            <w:r>
              <w:rPr>
                <w:rFonts w:ascii="仿宋_GB2312" w:hAnsi="仿宋_GB2312" w:cs="仿宋_GB2312" w:eastAsia="仿宋_GB2312"/>
              </w:rPr>
              <w:t>选择具备会展搭建项目、会场服务、策划宣传项目经验丰富且沟通效率高能够保质保量的完成服务的企业（提供佐证材料）；</w:t>
            </w:r>
          </w:p>
          <w:p>
            <w:pPr>
              <w:pStyle w:val="null3"/>
              <w:jc w:val="left"/>
            </w:pPr>
            <w:r>
              <w:rPr>
                <w:rFonts w:ascii="仿宋_GB2312" w:hAnsi="仿宋_GB2312" w:cs="仿宋_GB2312" w:eastAsia="仿宋_GB2312"/>
              </w:rPr>
              <w:t>（二）质量保证</w:t>
            </w:r>
          </w:p>
          <w:p>
            <w:pPr>
              <w:pStyle w:val="null3"/>
              <w:jc w:val="left"/>
            </w:pPr>
            <w:r>
              <w:rPr>
                <w:rFonts w:ascii="仿宋_GB2312" w:hAnsi="仿宋_GB2312" w:cs="仿宋_GB2312" w:eastAsia="仿宋_GB2312"/>
              </w:rPr>
              <w:t>1.活动策划兼具专业、人文、综合、时尚与协调特性。</w:t>
            </w:r>
          </w:p>
          <w:p>
            <w:pPr>
              <w:pStyle w:val="null3"/>
              <w:jc w:val="left"/>
            </w:pPr>
            <w:r>
              <w:rPr>
                <w:rFonts w:ascii="仿宋_GB2312" w:hAnsi="仿宋_GB2312" w:cs="仿宋_GB2312" w:eastAsia="仿宋_GB2312"/>
              </w:rPr>
              <w:t>2.活动服务遵循标准化、规范化流程。</w:t>
            </w:r>
          </w:p>
          <w:p>
            <w:pPr>
              <w:pStyle w:val="null3"/>
              <w:jc w:val="left"/>
            </w:pPr>
            <w:r>
              <w:rPr>
                <w:rFonts w:ascii="仿宋_GB2312" w:hAnsi="仿宋_GB2312" w:cs="仿宋_GB2312" w:eastAsia="仿宋_GB2312"/>
              </w:rPr>
              <w:t>3.确保设计与实际搭建展示效果相符，在规定搭建布置时间内进场施工，按时完工且工程质量达标。</w:t>
            </w:r>
          </w:p>
          <w:p>
            <w:pPr>
              <w:pStyle w:val="null3"/>
              <w:jc w:val="left"/>
            </w:pPr>
            <w:r>
              <w:rPr>
                <w:rFonts w:ascii="仿宋_GB2312" w:hAnsi="仿宋_GB2312" w:cs="仿宋_GB2312" w:eastAsia="仿宋_GB2312"/>
              </w:rPr>
              <w:t>4.搭建材料须合格，严禁劣质材料。供应商需出具推介会场及展示区域搭建安全承诺书，推介活动全程安全责任自负，采购人免责。</w:t>
            </w:r>
          </w:p>
          <w:p>
            <w:pPr>
              <w:pStyle w:val="null3"/>
              <w:jc w:val="left"/>
            </w:pPr>
            <w:r>
              <w:rPr>
                <w:rFonts w:ascii="仿宋_GB2312" w:hAnsi="仿宋_GB2312" w:cs="仿宋_GB2312" w:eastAsia="仿宋_GB2312"/>
              </w:rPr>
              <w:t>5.中标供应商严禁转包、分包项目，应组建骨干技术团队，建立严格质量管理体系，规范作业，保障服务质量。</w:t>
            </w:r>
          </w:p>
          <w:p>
            <w:pPr>
              <w:pStyle w:val="null3"/>
              <w:jc w:val="left"/>
            </w:pPr>
            <w:r>
              <w:rPr>
                <w:rFonts w:ascii="仿宋_GB2312" w:hAnsi="仿宋_GB2312" w:cs="仿宋_GB2312" w:eastAsia="仿宋_GB2312"/>
              </w:rPr>
              <w:t>（三）验收要求</w:t>
            </w:r>
          </w:p>
          <w:p>
            <w:pPr>
              <w:pStyle w:val="null3"/>
              <w:jc w:val="left"/>
            </w:pPr>
            <w:r>
              <w:rPr>
                <w:rFonts w:ascii="仿宋_GB2312" w:hAnsi="仿宋_GB2312" w:cs="仿宋_GB2312" w:eastAsia="仿宋_GB2312"/>
              </w:rPr>
              <w:t>1.服务期满后按照成交供应商所提供的资料及数据进行验收；</w:t>
            </w:r>
          </w:p>
          <w:p>
            <w:pPr>
              <w:pStyle w:val="null3"/>
              <w:jc w:val="left"/>
            </w:pPr>
            <w:r>
              <w:rPr>
                <w:rFonts w:ascii="仿宋_GB2312" w:hAnsi="仿宋_GB2312" w:cs="仿宋_GB2312" w:eastAsia="仿宋_GB2312"/>
              </w:rPr>
              <w:t>2.最终验收：自合同签订之日起至完成全部项目内容，需按照采购人确定的时间完成交付并验收合格。</w:t>
            </w:r>
          </w:p>
          <w:p>
            <w:pPr>
              <w:pStyle w:val="null3"/>
              <w:jc w:val="left"/>
            </w:pPr>
            <w:r>
              <w:rPr>
                <w:rFonts w:ascii="仿宋_GB2312" w:hAnsi="仿宋_GB2312" w:cs="仿宋_GB2312" w:eastAsia="仿宋_GB2312"/>
              </w:rPr>
              <w:t>3.验收和评价方式</w:t>
            </w:r>
          </w:p>
          <w:p>
            <w:pPr>
              <w:pStyle w:val="null3"/>
              <w:jc w:val="left"/>
            </w:pPr>
            <w:r>
              <w:rPr>
                <w:rFonts w:ascii="仿宋_GB2312" w:hAnsi="仿宋_GB2312" w:cs="仿宋_GB2312" w:eastAsia="仿宋_GB2312"/>
              </w:rPr>
              <w:t>3.1  乙方提供的服务最终验收达不到磋商文件要求和磋商响应文件承诺及国家或行业标准，或在使用中发现甲方不能容忍的缺陷等，将视为验收不合格，乙方应在甲方要求的时间内无条件完善或赔付采购人损失。</w:t>
            </w:r>
          </w:p>
          <w:p>
            <w:pPr>
              <w:pStyle w:val="null3"/>
              <w:jc w:val="left"/>
            </w:pPr>
            <w:r>
              <w:rPr>
                <w:rFonts w:ascii="仿宋_GB2312" w:hAnsi="仿宋_GB2312" w:cs="仿宋_GB2312" w:eastAsia="仿宋_GB2312"/>
              </w:rPr>
              <w:t>3.2  若发现乙方有弄虚作假的，及在项目实施阶段故意或随意夸大服务，本项目合同解除，乙方赔偿甲方相应的损失。</w:t>
            </w:r>
          </w:p>
          <w:p>
            <w:pPr>
              <w:pStyle w:val="null3"/>
              <w:jc w:val="left"/>
            </w:pPr>
            <w:r>
              <w:rPr>
                <w:rFonts w:ascii="仿宋_GB2312" w:hAnsi="仿宋_GB2312" w:cs="仿宋_GB2312" w:eastAsia="仿宋_GB2312"/>
              </w:rPr>
              <w:t>3.3  验收标准：按磋商文件、磋商响应文件等服务指标进行逐项验收，各项指标均应符合验收标准及要求。</w:t>
            </w:r>
          </w:p>
          <w:p>
            <w:pPr>
              <w:pStyle w:val="null3"/>
              <w:jc w:val="left"/>
            </w:pPr>
            <w:r>
              <w:rPr>
                <w:rFonts w:ascii="仿宋_GB2312" w:hAnsi="仿宋_GB2312" w:cs="仿宋_GB2312" w:eastAsia="仿宋_GB2312"/>
              </w:rPr>
              <w:t>3.4  验收合格后，填写验收单，双方盖章、签字生效。</w:t>
            </w:r>
          </w:p>
          <w:p>
            <w:pPr>
              <w:pStyle w:val="null3"/>
              <w:jc w:val="left"/>
            </w:pPr>
            <w:r>
              <w:rPr>
                <w:rFonts w:ascii="仿宋_GB2312" w:hAnsi="仿宋_GB2312" w:cs="仿宋_GB2312" w:eastAsia="仿宋_GB2312"/>
              </w:rPr>
              <w:t>3.5  验收依据</w:t>
            </w:r>
          </w:p>
          <w:p>
            <w:pPr>
              <w:pStyle w:val="null3"/>
              <w:jc w:val="left"/>
            </w:pPr>
            <w:r>
              <w:rPr>
                <w:rFonts w:ascii="仿宋_GB2312" w:hAnsi="仿宋_GB2312" w:cs="仿宋_GB2312" w:eastAsia="仿宋_GB2312"/>
              </w:rPr>
              <w:t>3.5.1  合同文本</w:t>
            </w:r>
          </w:p>
          <w:p>
            <w:pPr>
              <w:pStyle w:val="null3"/>
              <w:jc w:val="left"/>
            </w:pPr>
            <w:r>
              <w:rPr>
                <w:rFonts w:ascii="仿宋_GB2312" w:hAnsi="仿宋_GB2312" w:cs="仿宋_GB2312" w:eastAsia="仿宋_GB2312"/>
              </w:rPr>
              <w:t>3.5.2  磋商响应文件、磋商文件、澄清函。</w:t>
            </w:r>
          </w:p>
          <w:p>
            <w:pPr>
              <w:pStyle w:val="null3"/>
              <w:jc w:val="left"/>
            </w:pPr>
            <w:r>
              <w:rPr>
                <w:rFonts w:ascii="仿宋_GB2312" w:hAnsi="仿宋_GB2312" w:cs="仿宋_GB2312" w:eastAsia="仿宋_GB2312"/>
              </w:rPr>
              <w:t>3.5.3  国家和行业制定的相应的标准和规范。</w:t>
            </w:r>
          </w:p>
          <w:p>
            <w:pPr>
              <w:pStyle w:val="null3"/>
              <w:jc w:val="left"/>
            </w:pPr>
            <w:r>
              <w:rPr>
                <w:rFonts w:ascii="仿宋_GB2312" w:hAnsi="仿宋_GB2312" w:cs="仿宋_GB2312" w:eastAsia="仿宋_GB2312"/>
              </w:rPr>
              <w:t>（四）保密条款</w:t>
            </w:r>
          </w:p>
          <w:p>
            <w:pPr>
              <w:pStyle w:val="null3"/>
              <w:jc w:val="left"/>
            </w:pPr>
            <w:r>
              <w:rPr>
                <w:rFonts w:ascii="仿宋_GB2312" w:hAnsi="仿宋_GB2312" w:cs="仿宋_GB2312" w:eastAsia="仿宋_GB2312"/>
              </w:rPr>
              <w:t>任何一方在未获得对方书面允许的情况下，均不应向任何第三方披露或提供从合作方取得的展会相关资料。</w:t>
            </w:r>
          </w:p>
          <w:p>
            <w:pPr>
              <w:pStyle w:val="null3"/>
              <w:jc w:val="left"/>
            </w:pPr>
            <w:r>
              <w:rPr>
                <w:rFonts w:ascii="仿宋_GB2312" w:hAnsi="仿宋_GB2312" w:cs="仿宋_GB2312" w:eastAsia="仿宋_GB2312"/>
              </w:rPr>
              <w:t>（五）违约责任</w:t>
            </w:r>
          </w:p>
          <w:p>
            <w:pPr>
              <w:pStyle w:val="null3"/>
              <w:jc w:val="left"/>
            </w:pPr>
            <w:r>
              <w:rPr>
                <w:rFonts w:ascii="仿宋_GB2312" w:hAnsi="仿宋_GB2312" w:cs="仿宋_GB2312" w:eastAsia="仿宋_GB2312"/>
              </w:rPr>
              <w:t>1.按《民法典》中的相关条款执行。</w:t>
            </w:r>
          </w:p>
          <w:p>
            <w:pPr>
              <w:pStyle w:val="null3"/>
              <w:jc w:val="left"/>
            </w:pPr>
            <w:r>
              <w:rPr>
                <w:rFonts w:ascii="仿宋_GB2312" w:hAnsi="仿宋_GB2312" w:cs="仿宋_GB2312" w:eastAsia="仿宋_GB2312"/>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jc w:val="left"/>
            </w:pPr>
            <w:r>
              <w:rPr>
                <w:rFonts w:ascii="仿宋_GB2312" w:hAnsi="仿宋_GB2312" w:cs="仿宋_GB2312" w:eastAsia="仿宋_GB2312"/>
              </w:rPr>
              <w:t>3.由于不可抗力因素造成无法按照原计划提供服务，双方互不追究违约责任。</w:t>
            </w:r>
          </w:p>
          <w:p>
            <w:pPr>
              <w:pStyle w:val="null3"/>
            </w:pPr>
            <w:r>
              <w:rPr>
                <w:rFonts w:ascii="仿宋_GB2312" w:hAnsi="仿宋_GB2312" w:cs="仿宋_GB2312" w:eastAsia="仿宋_GB2312"/>
              </w:rPr>
              <w:t>4.如有异议另行协商。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满足实施本项目人员配置要求。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满足实施本项目设施设备要求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（一）对服务商的业绩要求 选择具备会展搭建项目、会场服务、策划宣传项目经验丰富且沟通效率高能够保质保量的完成服务的企业（提供佐证材料）； （二）质量保证 1.活动策划兼具专业、人文、综合、时尚与协调特性。 2.活动服务遵循标准化、规范化流程。 3.确保设计与实际搭建展示效果相符，在规定搭建布置时间内进场施工，按时完工且工程质量达标。 4.搭建材料须合格，严禁劣质材料。供应商需出具推介会场及展示区域搭建安全承诺书，推介活动全程安全责任自负，采购人免责。 5.中标供应商严禁转包、分包项目，应组建骨干技术团队，建立严格质量管理体系，规范作业，保障服务质量。 （三）验收要求 1.服务期满后按照成交供应商所提供的资料及数据进行验收； 2.最终验收：自合同签订之日起至完成全部项目内容，需按照采购人确定的时间完成交付并验收合格。 3.验收和评价方式 3.1 乙方提供的服务最终验收达不到磋商文件要求和磋商响应文件承诺及国家或行业标准，或在使用中发现甲方不能容忍的缺陷等，将视为验收不合格，乙方应在甲方要求的时间内无条件完善或赔付采购人损失。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 （四）保密条款 任何一方在未获得对方书面允许的情况下，均不应向任何第三方披露或提供从合作方取得的展会相关资料。 （五）违约责任 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验收交付标准：按磋商文件、磋商响应文件等服务指标进行逐项验收，各项指标均应符合验收标准及要求。 验收方法： 1.服务期满后按照成交供应商所提供的资料及数据进行验收； 2.最终验收：自合同签订之日起至完成全部项目内容，需按照采购人确定的时间完成交付并验收合格。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合同签订后,收到供应商提供的合规发票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活动结束且验收合格后，收到供应商提供的合规发票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通过电子化交易系统协商，供应商需在电子化交易系统上传响应的文件。成交供应商须在成交结果公示后三个工作日内向采购代理机构提供一正两副纸质响应文件及电子版2份（签字盖章扫描PDF和word文档格式，U盘存储），递交地址：陕西省西安市经济技术开发区凤城八路长和国际F座22层，联系电话：029-86522030转612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供应商代表身份证明</w:t>
            </w:r>
          </w:p>
        </w:tc>
        <w:tc>
          <w:tcPr>
            <w:tcW w:type="dxa" w:w="332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提供供应商2023年或者2024年经审计的财务报告或磋商前三个月内开户银行开具的资信证明；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经营活动</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“信用中国”网站和“中国政府采购网”查询截图</w:t>
            </w:r>
          </w:p>
        </w:tc>
        <w:tc>
          <w:tcPr>
            <w:tcW w:type="dxa" w:w="3322"/>
          </w:tcPr>
          <w:p>
            <w:pPr>
              <w:pStyle w:val="null3"/>
            </w:pPr>
            <w:r>
              <w:rPr>
                <w:rFonts w:ascii="仿宋_GB2312" w:hAnsi="仿宋_GB2312" w:cs="仿宋_GB2312" w:eastAsia="仿宋_GB2312"/>
              </w:rPr>
              <w:t>供应商不得为“信用中国”网站（www.creditchina.gov.cn）（中国执行信息公开网）和中国政府采购网（www.ccgp.gov.cn）中被列入失信被执行人、重大税收违法失信主体、政府采购严重违法失信行为记录名单的单位；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项目为专门面向中小企业项目，供应商须为中型企业或者小型、微型企业或监狱企业或残疾人福利性单位。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一、评审内容：供应商针对本项目提出相应的服务方案，包括：①活动整体及配套服务方案②活动场地策划及搭建方案③设计及物料制作方案④宣传策略及推广方案 。 二、评审标准：1、完整性：内容全面，对评审内容中的各项要求有详细描述；2、可实施性：切合本项目实际情况，实施步骤清晰合理；3、针对性：内容科学合理，能够紧扣项目实际情况。 赋分标准（满分24分）： ①活动整体及配套服务方案：每满足一个评审标准得2分，基本满足一个评审标准得1分，对该评审标准的响应内容模糊或存在缺陷得0.5分，未提供或完全无法满足该评审标准得0分。满分6分。 ②活动场地布置方案：每满足一个评审标准得2分，基本满足一个评审标准得1分，对该评审标准的响应内容模糊或存在缺陷得0.5分，未提供或完全无法满足该评审标准得0分。满分6分。 ③设计及物料制作方案：每满足一个评审标准得2分，基本满足一个评审标准得1分，对该评审标准的响应内容模糊或存在缺陷得0.5分，未提供或完全无法满足该评审标准得0分。满分6分。 ④线上、线下宣传策略及推广方案：每满足一个评审标准得2分，基本满足一个评审标准得1分，对该评审标准的响应内容模糊或存在缺陷得0.5分，未提供或完全无法满足该评审标准得0分。满分6分。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一、评审内容：供应商针对本项目服务内容及服务期限要求，制定完善的进度计划安排。 二、评审标准：1、完整性：内容全面，对评审内容中的各项要求有详细描述；2、可实施性：切合本项目实际情况，实施步骤清晰合理；3、针对性：内容科学合理，能够紧扣项目实际情况。 三、赋分标准（满分6分）： 进度计划安排内容每满足一个评审标准得2分，基本满足一个评审标准得1分，对该评审标准的响应内容模糊或存在缺陷得0.5分，未提供或完全无法满足该评审标准得0分。满分6分。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一、评审内容：针对本项目制定完善的保障措施，包括：①质量保障措施②安全保障措施③进度保障措施 二、评审标准 ：1、完整性：内容全面，对评审内容中的各项要求有详细描述；2、可实施性：切合本项目实际情况，实施步骤清晰合理； 3、针对性：内容科学合理，能够紧扣项目实际情况。 三、赋分标准（满分9分）： ①质量保障措施：每完全满足一个评审标准得1分，基本满足一个评审标准得0.5分，对该评审标准的响应内容模糊或存在缺陷得0.2分，未提供或完全无法满足该评审标准得0分。满分3分。 ②安全保障措施：每完全满足一个评审标准得1分，基本满足一个评审标准得0.5分，对该评审标准的响应内容模糊或存在缺陷得0.2分，未提供或完全无法满足该评审标准得0分。满分3分。 ③进度保障措施：每完全满足一个评审标准得1分，基本满足一个评审标准得0.5分，对该评审标准的响应内容模糊或存在缺陷得0.2分，未提供或完全无法满足该评审标准得0分。满分3分。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一、评审内容：分析本项目重难点并提出相应的解决策略，包括：①项目重难点分析②解决策略 二、评审标准：1、完整性：内容全面，对评审内容中的各项要求有详细描述； 2、可实施性：切合本项目实际情况，实施步骤清晰合理； 3、针对性：内容科学合理，能够紧扣项目实际情况。 三、赋分标准（满分6分）： ①项目重难点分析：每完全满足一个评审标准得1分，基本满足一个评审标准得0.5分，对该评审标准的响应内容模糊或存在缺陷得0.2分，未提供或完全无法满足该评审标准得0分。满分3分。 ②解决策略：每完全满足一个评审标准得1分，基本满足一个评审标准得0.5分，对该评审标准的响应内容模糊或存在缺陷得0.2分，未提供或完全无法满足该评审标准得0分。满分3分。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一、评审内容：供应商针对本项目采购需求，提供相应的人员配备，包括：①团队人员配置明细②团队人员管理方案③团队组织架构 二、评审标准：1、完整性：内容全面，对评审内容中的各项要求有详细描述；2、可实施性：切合本项目实际情况，实施步骤清晰合理； 3、针对性：内容科学合理，能够紧扣项目实际情况。 三、赋分标准（满分9分）： ①团队人员配置明细：每满足一个评审标准得1分，基本满足一个评审标准得0.5分，对该评审标准的响应内容模糊或存在缺陷得0.2分，未提供或完全无法满足该评审标准得0分。满分3分。 ②团队人员管理方案：每满足一个评审标准得1分，基本满足一个评审标准得0.5分，对该评审标准的响应内容模糊或存在缺陷得0.2分，未提供或完全无法满足该评审标准得0分。满分3分。 ③团队组织架构：每满足一个评审标准得1分，基本满足一个评审标准得0.5分，对该评审标准的响应内容模糊或存在缺陷得0.2分，未提供或完全无法满足该评审标准得0分。满分3分。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供应商说明针对本项目拟投入的相应设备、物料等的配备情况。 拟投入本项目的设备材料配置齐全、说明完善、针对性强、能够满足采购需求得6分；拟投入本项目的设备材料配置齐全、设备材料说明基本完善、基本满足采购需求得4分；拟投入本项目的设备材料配置、设备材料说明基本完善、基本满足采购需求得2分； 拟投入本项目的设备材料配置存在缺陷、合理性低得1分；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一、评审内容：供应商针对本项目服务内容，提供相应的服务承诺（包括但不限于服务时间，服务质量、服务内容等）。 二、评审标准：1、完整性：内容全面，对评审内容中的各项要求有详细描述； 2、可实施性：切合本项目实际情况，实施步骤清晰合理； 3、针对性：内容科学合理，能够紧扣项目实际情况。 三、赋分标准（满分3分）：服务承诺内容每满足一个评审标准得1分，基本满足一个评审标准得0.5分，对该评审标准的响应内容模糊或存在缺陷得0.2分，未提供或完全无法满足该评审标准得0分。满分3分。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邀请参展策划组织方案</w:t>
            </w:r>
          </w:p>
        </w:tc>
        <w:tc>
          <w:tcPr>
            <w:tcW w:type="dxa" w:w="2492"/>
          </w:tcPr>
          <w:p>
            <w:pPr>
              <w:pStyle w:val="null3"/>
            </w:pPr>
            <w:r>
              <w:rPr>
                <w:rFonts w:ascii="仿宋_GB2312" w:hAnsi="仿宋_GB2312" w:cs="仿宋_GB2312" w:eastAsia="仿宋_GB2312"/>
              </w:rPr>
              <w:t>一、评审内容：供应商针对本项目邀请参展商的策划组织方案详实、具体、切实可行、科学合理，针对性强且具备优质的资源以满足采购文件需求。①邀请组织方案②策划组织方案 二、评审标准：1、完整性：内容全面具体，对评审内容中的各项要求有详细描述； 2、可实施性：切合本项目实际情况，实施步骤清晰合理； 3、针对性：内容科学合理，能够紧扣项目实际情况。 三、赋分标准（满分15分）：邀请组织方案：每满足一个评审标准得3分，基本满足一个评审标准得2分，对该评审标准的响应内容模糊或存在缺陷得1分，未提供或完全无法满足该评审标准得0分。满分9分。策划组织方案：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突发情况处理方案</w:t>
            </w:r>
          </w:p>
        </w:tc>
        <w:tc>
          <w:tcPr>
            <w:tcW w:type="dxa" w:w="2492"/>
          </w:tcPr>
          <w:p>
            <w:pPr>
              <w:pStyle w:val="null3"/>
            </w:pPr>
            <w:r>
              <w:rPr>
                <w:rFonts w:ascii="仿宋_GB2312" w:hAnsi="仿宋_GB2312" w:cs="仿宋_GB2312" w:eastAsia="仿宋_GB2312"/>
              </w:rPr>
              <w:t>一、评审内容：供应商针对该项目实施中可能发生的突发情况提供相应的处置方案。 二、评审标准：1、完整性：内容全面，对评审内容中的各项要求有详细描述； 2、可实施性：切合本项目实际情况，实施步骤清晰合理； 3、针对性：内容科学合理，能够紧扣项目实际情况。 三、赋分标准（满分6分）：处置方案内容每完全满足一个评审标准得2分，基本满足一个评审标准得1分，对该评审标准的响应内容模糊或存在缺陷得0.5分，未提供或完全无法满足该评审标准得0分。满分6分。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07月01日至今类似项目业绩，每提供1份得2分，最高得6分；业绩证明以合同或成交通知书为准，须在磋商响应文件中附合同或成交通知书的扫描件加盖单位公章（日期以合同签订时间或中标（成交）通知书时间为准），弄虚作假者，取消其中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 其他供应商的价格分统一按照下列公式计算：磋商报价得分=磋商基准价/磋商报价*100%*10。 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