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版本号：DZDL-2025-007ZZ20250724001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训练气膜馆工程设计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DZDL-2025-007ZZ</w:t>
      </w:r>
      <w:r>
        <w:br/>
      </w:r>
      <w:r>
        <w:br/>
      </w:r>
      <w:r>
        <w:br/>
      </w:r>
    </w:p>
    <w:p>
      <w:pPr>
        <w:pStyle w:val="null3"/>
        <w:jc w:val="center"/>
        <w:outlineLvl w:val="2"/>
      </w:pPr>
      <w:r>
        <w:rPr>
          <w:rFonts w:ascii="仿宋_GB2312" w:hAnsi="仿宋_GB2312" w:cs="仿宋_GB2312" w:eastAsia="仿宋_GB2312"/>
          <w:sz w:val="28"/>
          <w:b/>
        </w:rPr>
        <w:t>西安市青少年体育学校</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西安市青少年体育学校</w:t>
      </w:r>
      <w:r>
        <w:rPr>
          <w:rFonts w:ascii="仿宋_GB2312" w:hAnsi="仿宋_GB2312" w:cs="仿宋_GB2312" w:eastAsia="仿宋_GB2312"/>
        </w:rPr>
        <w:t>委托，拟对</w:t>
      </w:r>
      <w:r>
        <w:rPr>
          <w:rFonts w:ascii="仿宋_GB2312" w:hAnsi="仿宋_GB2312" w:cs="仿宋_GB2312" w:eastAsia="仿宋_GB2312"/>
        </w:rPr>
        <w:t>训练气膜馆工程设计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DZDL-2025-007ZZ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训练气膜馆工程设计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为满足日常训练要求，本单位拟新建训练气膜馆。本次拟采购训练气膜馆工程设计，完成本项目施工图设计，以及提供施工阶段的设计伴随服务。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采购包1（训练气膜馆工程设计）：属于专门面向中小企业采购。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任选其一）：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p>
      <w:pPr>
        <w:pStyle w:val="null3"/>
      </w:pPr>
      <w:r>
        <w:rPr>
          <w:rFonts w:ascii="仿宋_GB2312" w:hAnsi="仿宋_GB2312" w:cs="仿宋_GB2312" w:eastAsia="仿宋_GB2312"/>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6、书面声明：提供具有履行合同所必需的设备和专业技术能力的书面声明。</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8、供应商资质：供应商具备【工程设计综合资质甲级】，或【建筑行业工程设计乙级】及以上资质，或【建筑行业（建筑工程）丙级】及以上资质。</w:t>
      </w:r>
    </w:p>
    <w:p>
      <w:pPr>
        <w:pStyle w:val="null3"/>
      </w:pPr>
      <w:r>
        <w:rPr>
          <w:rFonts w:ascii="仿宋_GB2312" w:hAnsi="仿宋_GB2312" w:cs="仿宋_GB2312" w:eastAsia="仿宋_GB2312"/>
        </w:rPr>
        <w:t>9、项目负责人资格：供应商拟派设计项目负责人须具备【二级注册建筑师】及以上执业资格且在本单位注册。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西安市青少年体育学校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西安市碑林区伞塔路89号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029-88861150转615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西安市青少年体育学校</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西安市青少年体育学校</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西安市青少年体育学校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设计文件满足国家或地方规范及标准、现行的建筑工程设计规范及规程、《建筑工程设计文件编制深度规定》要求并满足发包人对施工图设计的技术标准、深度要求。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为满足日常训练要求，本单位拟新建训练气膜馆。本次拟采购训练气膜馆工程设计，完成本项施工图设计，以及提供施工阶段的设计伴随服务。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训练气膜馆工程设计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标的名称：训练气膜馆工程设计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1.项目概况</w:t>
            </w:r>
          </w:p>
          <w:p>
            <w:pPr>
              <w:pStyle w:val="null3"/>
            </w:pPr>
            <w:r>
              <w:rPr>
                <w:rFonts w:ascii="仿宋_GB2312" w:hAnsi="仿宋_GB2312" w:cs="仿宋_GB2312" w:eastAsia="仿宋_GB2312"/>
              </w:rPr>
              <w:t>为满足日常训练要求，拟新建训练气膜馆。总投资估算金额约为280万元，其中建安费估算额约270万元。</w:t>
            </w:r>
          </w:p>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本次拟采购训练气膜馆工程设计，完成本项目施工图设计，以及提供施工阶段的设计伴随服务等。</w:t>
            </w:r>
          </w:p>
          <w:p>
            <w:pPr>
              <w:pStyle w:val="null3"/>
            </w:pPr>
            <w:r>
              <w:rPr>
                <w:rFonts w:ascii="仿宋_GB2312" w:hAnsi="仿宋_GB2312" w:cs="仿宋_GB2312" w:eastAsia="仿宋_GB2312"/>
              </w:rPr>
              <w:t>3.技术要求</w:t>
            </w:r>
          </w:p>
          <w:p>
            <w:pPr>
              <w:pStyle w:val="null3"/>
            </w:pPr>
            <w:r>
              <w:rPr>
                <w:rFonts w:ascii="仿宋_GB2312" w:hAnsi="仿宋_GB2312" w:cs="仿宋_GB2312" w:eastAsia="仿宋_GB2312"/>
              </w:rPr>
              <w:t>本工程的设计过程和成果必须符合国家有关工程建设标准强制性条文、建设部关于设计方面现行的标准、规范、规程、定额、办法、示例以及项目所在地关于工程设计方面的文件、规定，设计文件须满足《建筑工程设计文件编制深度规定》要求并满足发包人对施工图设计的技术标准、深度要求。在设计过程中，如国家或有关部门颁布了新的技术标准或规范，则设计单位应采用新的标准或规范进行设计。</w:t>
            </w:r>
          </w:p>
          <w:p>
            <w:pPr>
              <w:pStyle w:val="null3"/>
            </w:pPr>
            <w:r>
              <w:rPr>
                <w:rFonts w:ascii="仿宋_GB2312" w:hAnsi="仿宋_GB2312" w:cs="仿宋_GB2312" w:eastAsia="仿宋_GB2312"/>
              </w:rPr>
              <w:t>4.服务质量要求</w:t>
            </w:r>
          </w:p>
          <w:p>
            <w:pPr>
              <w:pStyle w:val="null3"/>
            </w:pPr>
            <w:r>
              <w:rPr>
                <w:rFonts w:ascii="仿宋_GB2312" w:hAnsi="仿宋_GB2312" w:cs="仿宋_GB2312" w:eastAsia="仿宋_GB2312"/>
              </w:rPr>
              <w:t>设计文件满足国家或地方规范及标准、《建筑工程设计文件编制深度规定》要求，并满足发包人对施工图设计的技术标准、深度要求。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自合同签订之日起至竣工验收合格止。其中，设计服务期限自合同签订后10日历天内。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西安市青少年体育学校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经发包人审核满足现行的相关标准，同时应满足省、市有关部门报批报建及施工图报审规定的要求。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全部成果文件完成，且项目完成并经甲方验收合格后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结合发改价格〔2015〕299号《国家发展改革委关于进一步放开建设项目专业服务价格的通知》，参照国家发改委、建设部计价格[2002]10号文《工程勘察设计收费管理规定》及相关工程设计收费规定、竞争性磋商文件相关内容结合市场价格自主报价。 供应商应在磋商报价表中标明完成本次磋商所要求内容且验收合格的所有费用，该价格包括但不限于施工图设计的所有工作内容及施工过程中的技术交底和施工配合等相关服务、提供各专业所需专家评审服务（包括费用支付）等完成甲方要求的全部工作以及管理费、利润、风险、规费、各项税费，是完成本项目所有服务内容的价格体现，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磋商，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财务状况（任选其一）</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供应商具备【工程设计综合资质甲级】，或【建筑行业工程设计乙级】及以上资质，或【建筑行业（建筑工程）丙级】及以上资质。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供应商拟派设计项目负责人须具备【二级注册建筑师】及以上执业资格且在本单位注册。</w:t>
            </w:r>
          </w:p>
        </w:tc>
        <w:tc>
          <w:tcPr>
            <w:tcW w:type="dxa" w:w="1661"/>
          </w:tcPr>
          <w:p>
            <w:pPr>
              <w:pStyle w:val="null3"/>
            </w:pPr>
            <w:r>
              <w:rPr>
                <w:rFonts w:ascii="仿宋_GB2312" w:hAnsi="仿宋_GB2312" w:cs="仿宋_GB2312" w:eastAsia="仿宋_GB2312"/>
              </w:rPr>
              <w:t>项目实施人员情况表.docx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2022年1月1日起至今供应商具有独立完成的类似业绩（指房屋工程设计业绩，附合同协议书复印件加盖供应商公章），每提供1个得2.5分，最多得10分。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项目组成员（除项目负责人外），具有本工程相关专业（包括但不限于装饰装修、建筑、电气、给水排水、暖通空调、结构等）中级及以上职称或注册执业资格的（一级或不区分级别的方为有效），每有1个专业类型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设计团队配置</w:t>
            </w:r>
          </w:p>
        </w:tc>
        <w:tc>
          <w:tcPr>
            <w:tcW w:type="dxa" w:w="2492"/>
          </w:tcPr>
          <w:p>
            <w:pPr>
              <w:pStyle w:val="null3"/>
            </w:pPr>
            <w:r>
              <w:rPr>
                <w:rFonts w:ascii="仿宋_GB2312" w:hAnsi="仿宋_GB2312" w:cs="仿宋_GB2312" w:eastAsia="仿宋_GB2312"/>
              </w:rPr>
              <w:t>团队配备合理、数量充足、职责明确、分工清晰、工作经历丰富、能够完全满足采购所需的得10分；团队配备较为合理、数量充足、职责较为明确、分工较为清晰、工作经历较为丰富、但能满足采购所需的得8分；团队配备基本合理、数量、职责、分工一般、缺少部分工作经历、勉强能满足基本采购所需的得6分；团队配备不合理、数量无保证、职责、分工不明确、工作经历较少、不能够满足采购所需的得3分；未提供人员配备方案或人员配备方案与项目实施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设计思路</w:t>
            </w:r>
          </w:p>
        </w:tc>
        <w:tc>
          <w:tcPr>
            <w:tcW w:type="dxa" w:w="2492"/>
          </w:tcPr>
          <w:p>
            <w:pPr>
              <w:pStyle w:val="null3"/>
            </w:pPr>
            <w:r>
              <w:rPr>
                <w:rFonts w:ascii="仿宋_GB2312" w:hAnsi="仿宋_GB2312" w:cs="仿宋_GB2312" w:eastAsia="仿宋_GB2312"/>
              </w:rPr>
              <w:t>设计思路准确，表述清晰、严谨、合理的得10分；设计思路准确性较好，表述较为清晰、严谨、合理性较好的得8分；设计思路基本准确，表述基本清晰、基本严谨、合理的得6分；设计思路不准确，表述不清晰、欠缺严谨、合理性的得3分；设计思路脱离实际，可行性差、合理性的得1分；未提供设计思路或设计思路脱离实际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重点、难点把握准确，分析透彻、描述详尽且与实际情况符合、有对应的解决方案且解决方案针对性强，科学合理可行、能有效提高服务效率的得10分；重点、难点把握基本准确，分析较为透彻、描述较为详尽与实际情况基本符合、有对应的解决方案且解决方案针对性较强强，较为科学合理可行、能提高服务效率的得8分；重点、难点分析基本透彻、描述基本详细且与实际情况符合、但只有部分问题有解决措施方案的得6分；重点、难点分析不详细且与实际情况符合程度一般，发现问题简单、缺少解决措施方案或措施内容空泛的得3分；未提供或分析脱离实际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工作计划及进度清晰完善，进度安排合理明确，操作性强，得8分；工作计划及进度较为完善,进度安排有实施性，操作性，得6分；工作计划及进度基本完善，进度安排有一定的实施性，操作性，得4分；工作计划及进度简单笼统，无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清晰完善，安排合理明确，操作性强，得8分；质量保障措施较为完善，安排有实施性，操作性，得6分；质量保障措施基本完善，安排有一定的实施性，操作性，得4分；质量保障措施简单笼统，无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造价控制措施</w:t>
            </w:r>
          </w:p>
        </w:tc>
        <w:tc>
          <w:tcPr>
            <w:tcW w:type="dxa" w:w="2492"/>
          </w:tcPr>
          <w:p>
            <w:pPr>
              <w:pStyle w:val="null3"/>
            </w:pPr>
            <w:r>
              <w:rPr>
                <w:rFonts w:ascii="仿宋_GB2312" w:hAnsi="仿宋_GB2312" w:cs="仿宋_GB2312" w:eastAsia="仿宋_GB2312"/>
              </w:rPr>
              <w:t>造价控制措施全面详细，科学实用、合理性强、可操作性强且完全有利于本采购项目的得8分；造价控制措施较为全面详细，具有一定科学实用性、合理性较好、可操作性较强基本有利于本采购项目的得6分；造价控制措施完备性一般，方案合理性一般、可操作性低或需要优化后才能基本满足项目需要的得4分；造价控制措施完备性欠缺，方案合理性欠缺、可操作性低或欠缺的得2分；未提供措施或措施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全面合理、针对性强、响应迅速、可行性强的得8分；后续服务有部分阐述不明确、针对性较强、可行性较强的得6分；后续服务有较多缺失或内容笼统、欠缺针对性和可行性的得4分；后续服务严重缺失或内容不全、无针对性和可行性的得2分；未提供后续服务或后续服务完全脱离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承诺内容清晰、承诺指标明确，后续服务具有可延续性，计7分；承诺及措施科学合理，基本满足项目需求，计4分；承诺及措施不合理，不能满足项目需求，计2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满足磋商文件要求且最后报价最低的供应商的价格为磋商基准价得满分，其他各供应商的最后报价得分按下列公式计算：（磋商基准价/最后磋商报价）×15%×100。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详见附件：项目实施人员情况表.docx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