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版本号：0617--2524FZ118620250723001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污水站运托</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0617--2524FZ1186</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污水站运托</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0617--2524FZ1186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污水站运托</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西安精神卫生中心污水站分东区污水站及西区污水站。东区污水站设计规模为220m3/d，污水站采用"格栅＋调节池＋水解池＋接触氧化池＋竖流沉淀池＋中间水池＋浅层过滤器＋消毒"为主的处理工艺。 西区污水处理站含两座污水站，合建，其中医院污水处理站设计处理能力为180m3/d，污水站采用"格栅＋调节池＋水解酸化池＋接触氧化池＋斜管沉淀池＋中间水池＋浅层过滤＋消毒"为主的处理工艺；洗涤污水处理站设计处理能力为120m3/d，污水站采用"格栅＋调节池＋酸碱中和池＋水解酸化池＋接触氧化池＋混凝反应池＋斜管沉淀池＋消毒"为主的处理工艺。 东区污水站及西区污水站消毒方式采用次氯酸钠消毒。在服务期内将进行相关设备更新。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采购包1（污水站运托服务）：属于专门面向中小企业采购。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或提供法定代表人身份证明及身份证复印件（法定代表人直接参加磋商)。</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3、其他要求：本项目不接受由西安市精神卫生中心职工及其亲属投资举办的企业参加磋商（提供承诺函）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lt;招标代理服务收费管理暂行办法&gt;的通知》（计价格[2002]1980号）规定标准下浮20%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1、达到国家卫生城市对医院卫生保洁工作的考核标准； 2、达到三级甲等医院的卫生标准； 3、达到西安市卫健委的有关卫生标准的规定； 4、达到医疗机构环境表面清洁与消毒管理规范（2016）标准； 5、达到《西安市精神卫生中心卫生质量验收标准》。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西安精神卫生中心污水站分东区污水站及西区污水站。 东区污水站设计规模为220m3/d，污水站采用"格栅＋调节池＋水解池＋接触氧化池＋竖流沉淀池＋中间水池＋浅层过滤器＋消毒"为主的处理工艺。 西区污水处理站含两座污水站，合建，其中医院污水处理站设计处理能力为180m3/d，污水站采用"格栅＋调节池＋水解酸化池＋接触氧化池＋斜管沉淀池＋中间水池＋浅层过滤＋消毒"为主的处理工艺；洗涤污水处理站设计处理能力为120m3/d，污水站采用"格栅＋调节池＋酸碱中和池＋水解酸化池＋接触氧化池＋混凝反应池＋斜管沉淀池＋消毒"为主的处理工艺。 东区污水站及西区污水站消毒方式采用次氯酸钠消毒。在服务期内将进行相关设备更新。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污水站运托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标的名称：污水站运托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服务内容与质量：</w:t>
            </w:r>
          </w:p>
          <w:p>
            <w:pPr>
              <w:pStyle w:val="null3"/>
              <w:ind w:firstLine="360"/>
              <w:jc w:val="both"/>
            </w:pPr>
            <w:r>
              <w:rPr>
                <w:rFonts w:ascii="仿宋_GB2312" w:hAnsi="仿宋_GB2312" w:cs="仿宋_GB2312" w:eastAsia="仿宋_GB2312"/>
                <w:sz w:val="20"/>
              </w:rPr>
              <w:t>在管理服务区域内，乙方提供的管理服务包括以下内容：</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1、负责污水站系统日常运行、管理、维护、维修、检测等所有工作，并符合企业、行业、国家规定及本合同相关标准要求；</w:t>
            </w:r>
          </w:p>
          <w:p>
            <w:pPr>
              <w:pStyle w:val="null3"/>
              <w:ind w:firstLine="560"/>
              <w:jc w:val="both"/>
            </w:pPr>
            <w:r>
              <w:rPr>
                <w:rFonts w:ascii="仿宋_GB2312" w:hAnsi="仿宋_GB2312" w:cs="仿宋_GB2312" w:eastAsia="仿宋_GB2312"/>
                <w:sz w:val="20"/>
              </w:rPr>
              <w:t>2、负责污水站原料采购、搬运、储存、使用中的安全及设备的运行操作安全；</w:t>
            </w:r>
          </w:p>
          <w:p>
            <w:pPr>
              <w:pStyle w:val="null3"/>
              <w:ind w:firstLine="560"/>
              <w:jc w:val="both"/>
            </w:pPr>
            <w:r>
              <w:rPr>
                <w:rFonts w:ascii="仿宋_GB2312" w:hAnsi="仿宋_GB2312" w:cs="仿宋_GB2312" w:eastAsia="仿宋_GB2312"/>
                <w:sz w:val="20"/>
              </w:rPr>
              <w:t>3、</w:t>
            </w:r>
            <w:r>
              <w:rPr>
                <w:rFonts w:ascii="仿宋_GB2312" w:hAnsi="仿宋_GB2312" w:cs="仿宋_GB2312" w:eastAsia="仿宋_GB2312"/>
                <w:sz w:val="22"/>
              </w:rPr>
              <w:t>负责污泥、漂浮物清运处理，负责化粪池、隔油池清理，市政接驳口疏通清理，院内污水井排查、清理及更换安全网工作，并符合国家相关标准。</w:t>
            </w:r>
            <w:r>
              <w:rPr>
                <w:rFonts w:ascii="仿宋_GB2312" w:hAnsi="仿宋_GB2312" w:cs="仿宋_GB2312" w:eastAsia="仿宋_GB2312"/>
              </w:rPr>
              <w:t xml:space="preserve">    </w:t>
            </w:r>
          </w:p>
          <w:p>
            <w:pPr>
              <w:pStyle w:val="null3"/>
              <w:ind w:firstLine="560"/>
              <w:jc w:val="both"/>
            </w:pPr>
            <w:r>
              <w:rPr>
                <w:rFonts w:ascii="仿宋_GB2312" w:hAnsi="仿宋_GB2312" w:cs="仿宋_GB2312" w:eastAsia="仿宋_GB2312"/>
                <w:sz w:val="20"/>
              </w:rPr>
              <w:t>4、乙方负责原料采购，并负责原料到相关管理部门的报审及审批协调工作；</w:t>
            </w:r>
          </w:p>
          <w:p>
            <w:pPr>
              <w:pStyle w:val="null3"/>
              <w:ind w:firstLine="480"/>
              <w:jc w:val="both"/>
            </w:pPr>
            <w:r>
              <w:rPr>
                <w:rFonts w:ascii="仿宋_GB2312" w:hAnsi="仿宋_GB2312" w:cs="仿宋_GB2312" w:eastAsia="仿宋_GB2312"/>
                <w:sz w:val="20"/>
              </w:rPr>
              <w:t>5、乙方提供的服务应达到的标准为：《医疗机构水污染物排放标准》（GB18466-2005），需要满足环保要求，如污水标准提高，导致设备投资及处理费用的增加，由乙方承担。</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0"/>
              </w:rPr>
              <w:t>6、档案资料管理。</w:t>
            </w:r>
          </w:p>
          <w:p>
            <w:pPr>
              <w:pStyle w:val="null3"/>
              <w:ind w:firstLine="360"/>
              <w:jc w:val="both"/>
            </w:pPr>
            <w:r>
              <w:rPr>
                <w:rFonts w:ascii="仿宋_GB2312" w:hAnsi="仿宋_GB2312" w:cs="仿宋_GB2312" w:eastAsia="仿宋_GB2312"/>
                <w:sz w:val="20"/>
              </w:rPr>
              <w:t>7、乙方需同甲方签订定消防和安全协议书。</w:t>
            </w:r>
          </w:p>
          <w:p>
            <w:pPr>
              <w:pStyle w:val="null3"/>
              <w:ind w:firstLine="560"/>
            </w:pPr>
            <w:r>
              <w:rPr>
                <w:rFonts w:ascii="仿宋_GB2312" w:hAnsi="仿宋_GB2312" w:cs="仿宋_GB2312" w:eastAsia="仿宋_GB2312"/>
                <w:sz w:val="20"/>
              </w:rPr>
              <w:t>8.、乙方提供的管理服务应达到国家和地方现行标准及招标文件中的管理要求。</w:t>
            </w:r>
          </w:p>
          <w:p>
            <w:pPr>
              <w:pStyle w:val="null3"/>
              <w:ind w:firstLine="360"/>
            </w:pPr>
            <w:r>
              <w:rPr>
                <w:rFonts w:ascii="仿宋_GB2312" w:hAnsi="仿宋_GB2312" w:cs="仿宋_GB2312" w:eastAsia="仿宋_GB2312"/>
                <w:sz w:val="20"/>
              </w:rPr>
              <w:t>9、乙方不得将本项目管理服务进行分包或转包。</w:t>
            </w:r>
          </w:p>
          <w:p>
            <w:pPr>
              <w:pStyle w:val="null3"/>
              <w:ind w:firstLine="360"/>
            </w:pPr>
            <w:r>
              <w:rPr>
                <w:rFonts w:ascii="仿宋_GB2312" w:hAnsi="仿宋_GB2312" w:cs="仿宋_GB2312" w:eastAsia="仿宋_GB2312"/>
                <w:sz w:val="20"/>
              </w:rPr>
              <w:t>10、按照甲方要求，2026年6月前更换院排污许可证。</w:t>
            </w:r>
          </w:p>
          <w:p>
            <w:pPr>
              <w:pStyle w:val="null3"/>
              <w:ind w:firstLine="360"/>
            </w:pPr>
            <w:r>
              <w:rPr>
                <w:rFonts w:ascii="仿宋_GB2312" w:hAnsi="仿宋_GB2312" w:cs="仿宋_GB2312" w:eastAsia="仿宋_GB2312"/>
                <w:sz w:val="20"/>
              </w:rPr>
              <w:t>11、在甲方进行技术提升或改造时，乙方在改造及验收过程中提供甲方认为必要的技术支持。</w:t>
            </w:r>
          </w:p>
          <w:p>
            <w:pPr>
              <w:pStyle w:val="null3"/>
            </w:pPr>
            <w:r>
              <w:rPr>
                <w:rFonts w:ascii="仿宋_GB2312" w:hAnsi="仿宋_GB2312" w:cs="仿宋_GB2312" w:eastAsia="仿宋_GB2312"/>
                <w:b/>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本管理区域服务费选择包干制</w:t>
            </w:r>
          </w:p>
          <w:p>
            <w:pPr>
              <w:pStyle w:val="null3"/>
              <w:jc w:val="both"/>
            </w:pPr>
            <w:r>
              <w:rPr>
                <w:rFonts w:ascii="仿宋_GB2312" w:hAnsi="仿宋_GB2312" w:cs="仿宋_GB2312" w:eastAsia="仿宋_GB2312"/>
                <w:sz w:val="20"/>
              </w:rPr>
              <w:t>服务费为完成合同规定的工作所需要的全部费用，包括人员成本（含劳动保险、福利、加班费等）、药剂费、劳保用品及办公用品费、水质专业检测费、设备维修保养费、设备校准费、管理费、保险费、利润、税费等，但不限于此。</w:t>
            </w:r>
          </w:p>
          <w:p>
            <w:pPr>
              <w:pStyle w:val="null3"/>
              <w:jc w:val="left"/>
            </w:pPr>
            <w:r>
              <w:rPr>
                <w:rFonts w:ascii="仿宋_GB2312" w:hAnsi="仿宋_GB2312" w:cs="仿宋_GB2312" w:eastAsia="仿宋_GB2312"/>
                <w:sz w:val="20"/>
              </w:rPr>
              <w:t>出水水质</w:t>
            </w:r>
          </w:p>
          <w:p>
            <w:pPr>
              <w:pStyle w:val="null3"/>
              <w:jc w:val="both"/>
            </w:pPr>
            <w:r>
              <w:rPr>
                <w:rFonts w:ascii="仿宋_GB2312" w:hAnsi="仿宋_GB2312" w:cs="仿宋_GB2312" w:eastAsia="仿宋_GB2312"/>
                <w:sz w:val="20"/>
              </w:rPr>
              <w:t>出水水质符合《医疗机构水污染物排放标准》（</w:t>
            </w:r>
            <w:r>
              <w:rPr>
                <w:rFonts w:ascii="仿宋_GB2312" w:hAnsi="仿宋_GB2312" w:cs="仿宋_GB2312" w:eastAsia="仿宋_GB2312"/>
                <w:sz w:val="20"/>
              </w:rPr>
              <w:t>GB18466-2005）并需要满足环保要求。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2"/>
                <w:b/>
              </w:rPr>
              <w:t>服务目标：</w:t>
            </w:r>
          </w:p>
          <w:p>
            <w:pPr>
              <w:pStyle w:val="null3"/>
            </w:pPr>
            <w:r>
              <w:rPr>
                <w:rFonts w:ascii="仿宋_GB2312" w:hAnsi="仿宋_GB2312" w:cs="仿宋_GB2312" w:eastAsia="仿宋_GB2312"/>
                <w:sz w:val="20"/>
              </w:rPr>
              <w:t>1、达到国家卫生城市对医院卫生保洁工作的考核标准；</w:t>
            </w:r>
          </w:p>
          <w:p>
            <w:pPr>
              <w:pStyle w:val="null3"/>
            </w:pPr>
            <w:r>
              <w:rPr>
                <w:rFonts w:ascii="仿宋_GB2312" w:hAnsi="仿宋_GB2312" w:cs="仿宋_GB2312" w:eastAsia="仿宋_GB2312"/>
                <w:sz w:val="20"/>
              </w:rPr>
              <w:t>2、达到三级甲等医院的卫生标准；</w:t>
            </w:r>
          </w:p>
          <w:p>
            <w:pPr>
              <w:pStyle w:val="null3"/>
            </w:pPr>
            <w:r>
              <w:rPr>
                <w:rFonts w:ascii="仿宋_GB2312" w:hAnsi="仿宋_GB2312" w:cs="仿宋_GB2312" w:eastAsia="仿宋_GB2312"/>
                <w:sz w:val="20"/>
              </w:rPr>
              <w:t>3、达到西安市卫健委的有关卫生标准的规定；</w:t>
            </w:r>
          </w:p>
          <w:p>
            <w:pPr>
              <w:pStyle w:val="null3"/>
            </w:pPr>
            <w:r>
              <w:rPr>
                <w:rFonts w:ascii="仿宋_GB2312" w:hAnsi="仿宋_GB2312" w:cs="仿宋_GB2312" w:eastAsia="仿宋_GB2312"/>
                <w:sz w:val="20"/>
              </w:rPr>
              <w:t>4、达到《医疗机构水污染物排放标准》（GB18466-2005）；</w:t>
            </w:r>
          </w:p>
          <w:p>
            <w:pPr>
              <w:pStyle w:val="null3"/>
              <w:jc w:val="both"/>
            </w:pPr>
            <w:r>
              <w:rPr>
                <w:rFonts w:ascii="仿宋_GB2312" w:hAnsi="仿宋_GB2312" w:cs="仿宋_GB2312" w:eastAsia="仿宋_GB2312"/>
                <w:sz w:val="20"/>
              </w:rPr>
              <w:t>5、达到《西安市精神卫生中心卫生质量验收标准》。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1、配备6人（需提供环境、污水处理中级以上职称或与工作相关岗位证书）； 2、工作人员安全由乙方自行负责，如造成自身及第三方人员安全事故，由乙方负全责。</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因进行技术提升机改造无需进行污水站托运服务的，服务期限在原有基础上相应顺延。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西安市精神卫生中心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（一）服务内容完成后先由乙方进行自检，自检合格后邀请甲方进行验收。甲方确认乙方的自检内容后，组织乙方进行最终验收，验收时乙方应派员参加，共同对验收结果进行确认，并承担相关责任。 （二）乙方向甲方提交服务实施过程中的所有资料。以便甲方日后管理和维护。 （三）验收依据：1、采购文件、响应文件、澄清表（函）；2、本合同及附件文本；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按月考核，考核合格后按季度付款</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按月考核，考核合格后按季度付款</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按月考核，考核合格后按季度付款</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按月考核，考核合格后按季度付款</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违约责任：依据《中华人民共和国民法典》、《中华人民共和国政府采购法》的相关条款和本合同约定执行。 1、若乙方未全面履行合同义务或者提供的服务质量不能满足本合同或甲方竞争性磋商文件及乙方响应文件约定的或乙方发生违约，乙方必须无条件按甲方要求的时限进行整改，否则甲方有权单方解除合同，解除合同书面通知书送达乙方之日视为合同已解除，并按以下两种方式追究乙方的违约责任： （1）乙方赔偿甲方解除合同的全部损失（包括但不限于重新采购产生的费用以及其它由此造成的甲方对第三方的违约损失等）； （2）乙方支付甲方违约金，违约金计算方法：以合同总价为基数，支付甲方合同总价的30%为违约金。同时，对乙方的违约行为报监管机构进行相应的处罚。 2、若乙方未按照本合同第约定的时间响应并排除故障的，每超过一天，扣除乙方合同总价款的 10 ‰，累计超过 5 日，视为乙方根本违约，甲方有权单方解除合同，解除合同书面通知书到达乙方之日视为合同已解除，并要求乙方按本条第1款之约定承担根本违约责任。 3、由于乙方技术或其他原因造成甲方设备配件损坏，乙方负责免费修复或更换配件，无法修复的，乙方应赔偿由此给甲方造成的全部损失。乙方服务期间维修、维保所用的器材及材料不符合相关质量标准的，乙方必须在 2 日内无条件免费更换，规定期限内拒绝更换或更换 2 次后仍不符合质量要求的，甲方有权单方解除本合同并有权要求乙方按照本条第1款的规定承担根本违约责任。 4、在合同期限内，乙方不得擅自转包、分包本合同项下的合同义务，否则甲方有权单方解除本合同并有权要求乙方按照本条第1款的规定承担根本违约责任。 本合同在履行过程中发生的争议，由甲、乙双方当事人协商解决，协商不成的任意一方可向甲方所在地有管辖权的人民法院提起诉讼。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款项结算： （一）服务质量按月考核，按季度付款。 （二）支付方式：银行转账。（三）结算方式：乙方开具发票与甲方结算。 供应商应在采购人每次付款前提供等额合规发票，否则采购人有权拒付合同款项，且不承担任何责任，供应商亦不得以此为由拒绝履行任意合同义务。（四）因系统付款条件的限制，在3.3.5“支付约定”及“付款条件说明”设定上无法进行详细说明，具体付款条件及结算方式以“3.4 其他要求”内的约定内容为准。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3.提供缴费所属日期为磋商响应文件递交截止时间前12个月内任一月份（磋商响应文件递交截止时间当月不计入）的缴费凭据或社保机关出具的缴费证明/在法规范围内不需提供的应出具书面说明和证明文件；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供应商须提供的资格证明文件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提供2023年至今任意一年度经审计的财务报告（包括四表一注，即资产负债表、利润表、现金流量表、所有者权益变动表及其附注），且无反对意见；事业法人提供部门决算报告；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供应商须提供的资格证明文件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供应商须提供的资格证明文件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或提供法定代表人身份证明及身份证复印件（法定代表人直接参加磋商)。</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供应商须提供的资格证明文件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本项目不接受由西安市精神卫生中心职工及其亲属投资举办的企业参加磋商（提供承诺函）</w:t>
            </w:r>
          </w:p>
        </w:tc>
        <w:tc>
          <w:tcPr>
            <w:tcW w:type="dxa" w:w="1661"/>
          </w:tcPr>
          <w:p>
            <w:pPr>
              <w:pStyle w:val="null3"/>
            </w:pPr>
            <w:r>
              <w:rPr>
                <w:rFonts w:ascii="仿宋_GB2312" w:hAnsi="仿宋_GB2312" w:cs="仿宋_GB2312" w:eastAsia="仿宋_GB2312"/>
              </w:rPr>
              <w:t>供应商须提供的资格证明文件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1.磋商响应文件上法定代表人或其授权代表人的签字齐全并按要求加盖公章；2.只能有一个有效报价，不得提交选择性报价，且报价不超过采购预算金额或最高限价；3.不存在磋商文件及法律法规规定的无效情形。</w:t>
            </w:r>
          </w:p>
        </w:tc>
        <w:tc>
          <w:tcPr>
            <w:tcW w:type="dxa" w:w="1661"/>
          </w:tcPr>
          <w:p>
            <w:pPr>
              <w:pStyle w:val="null3"/>
            </w:pPr>
            <w:r>
              <w:rPr>
                <w:rFonts w:ascii="仿宋_GB2312" w:hAnsi="仿宋_GB2312" w:cs="仿宋_GB2312" w:eastAsia="仿宋_GB2312"/>
              </w:rPr>
              <w:t>响应文件封面 供应商须提供的资格证明文件 服务内容及服务邀请应答表 中小企业声明函 残疾人福利性单位声明函 商务应答表 服务方案 标的清单 报价表 响应函 其他声明文件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1、磋商响应文件是否包含磋商报价表、响应函、技术和商务响应文件；2、磋商报价完整，不得只对采购需求部分内容进行报价。</w:t>
            </w:r>
          </w:p>
        </w:tc>
        <w:tc>
          <w:tcPr>
            <w:tcW w:type="dxa" w:w="1661"/>
          </w:tcPr>
          <w:p>
            <w:pPr>
              <w:pStyle w:val="null3"/>
            </w:pPr>
            <w:r>
              <w:rPr>
                <w:rFonts w:ascii="仿宋_GB2312" w:hAnsi="仿宋_GB2312" w:cs="仿宋_GB2312" w:eastAsia="仿宋_GB2312"/>
              </w:rPr>
              <w:t>响应文件封面 供应商须提供的资格证明文件 服务内容及服务邀请应答表 中小企业声明函 残疾人福利性单位声明函 商务应答表 服务方案 标的清单 报价表 响应函 其他声明文件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1.响应磋商文件的所有实质性条款；2. 磋商有效期应满足磋商文件中的规定；3.按照要求提供了有效的中小企业声明函或残疾人福利企业声明或监狱企业证明。</w:t>
            </w:r>
          </w:p>
        </w:tc>
        <w:tc>
          <w:tcPr>
            <w:tcW w:type="dxa" w:w="1661"/>
          </w:tcPr>
          <w:p>
            <w:pPr>
              <w:pStyle w:val="null3"/>
            </w:pPr>
            <w:r>
              <w:rPr>
                <w:rFonts w:ascii="仿宋_GB2312" w:hAnsi="仿宋_GB2312" w:cs="仿宋_GB2312" w:eastAsia="仿宋_GB2312"/>
              </w:rPr>
              <w:t>响应文件封面 供应商须提供的资格证明文件 服务内容及服务邀请应答表 中小企业声明函 残疾人福利性单位声明函 商务应答表 服务方案 标的清单 报价表 响应函 其他声明文件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对本项目的了解</w:t>
            </w:r>
          </w:p>
        </w:tc>
        <w:tc>
          <w:tcPr>
            <w:tcW w:type="dxa" w:w="2492"/>
          </w:tcPr>
          <w:p>
            <w:pPr>
              <w:pStyle w:val="null3"/>
            </w:pPr>
            <w:r>
              <w:rPr>
                <w:rFonts w:ascii="仿宋_GB2312" w:hAnsi="仿宋_GB2312" w:cs="仿宋_GB2312" w:eastAsia="仿宋_GB2312"/>
              </w:rPr>
              <w:t>供应商熟悉本项目所涉及的污水处理工艺及相关设备，能够针对本项目的运维特点提出有针对性的运维难点、重点分析，根据所提供的相关工艺、设备描述，重点、难点分析。 一、评审内容 ①本项目污水处理工艺及关键设备功能描述； ②针对本项目的重点、难点分析。 二、评审标准 ①全面性：内容全面，包括所有评审内容，无遗漏； ②详细性：内容详细，针对每一评审内容能够有明确具体的描述和说明； ③合理性：内容合理，准确，符合项目实际情况，有利于项目的实施。 三、赋分标准 每一项评审内容满足每一项评审标准得2分，最多得12分；每一项内容相对每一项评审标准存在一处漏洞或缺陷扣0.5分，2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项目入驻及交接实施方案</w:t>
            </w:r>
          </w:p>
        </w:tc>
        <w:tc>
          <w:tcPr>
            <w:tcW w:type="dxa" w:w="2492"/>
          </w:tcPr>
          <w:p>
            <w:pPr>
              <w:pStyle w:val="null3"/>
            </w:pPr>
            <w:r>
              <w:rPr>
                <w:rFonts w:ascii="仿宋_GB2312" w:hAnsi="仿宋_GB2312" w:cs="仿宋_GB2312" w:eastAsia="仿宋_GB2312"/>
              </w:rPr>
              <w:t>供应商根据项目情况提供项目人员入驻及交接实施方案，包括设备工作状态盘查、潜在问题发掘；人员交接、物料交接计划。 一、评审内容 ①设备工作状态盘查、潜在问题发掘；②人员交接、物料交接计划。 二、评审标准 ①全面性：内容全面，包括所有评审内容，无遗漏； ②详细性：内容详细，针对每一评审内容能够有明确具体的描述和说明； ③合理性：内容合理，准确，符合项目实际情况，有利于项目的实施。 三、赋分标准 每一项评审内容满足每一项评审标准得1分，最多得6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供应商具备完善的服务保障措施，包括质量管理措施、运维管理制度、人员管理制度、紧急及特殊情况处理措施、控制能耗措施等。 一、评审内容 ①质量管理措施；②运维管理制度；③人员管理制度；④紧急及特殊情况处理措施；⑤能耗控制措施。 二、评审标准 ①全面性：内容全面，包括所有评审内容，无遗漏； ②详细性：内容详细，针对每一评审内容能够有明确具体的描述和说明； ③合理性：内容合理，准确，符合项目实际情况，有利于项目的实施。 三、赋分标准 每一项评审内容满足每一项评审标准得1分，最多得15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安全及文明措施</w:t>
            </w:r>
          </w:p>
        </w:tc>
        <w:tc>
          <w:tcPr>
            <w:tcW w:type="dxa" w:w="2492"/>
          </w:tcPr>
          <w:p>
            <w:pPr>
              <w:pStyle w:val="null3"/>
            </w:pPr>
            <w:r>
              <w:rPr>
                <w:rFonts w:ascii="仿宋_GB2312" w:hAnsi="仿宋_GB2312" w:cs="仿宋_GB2312" w:eastAsia="仿宋_GB2312"/>
              </w:rPr>
              <w:t>供应商有针对本项目的安全及文明措施，在运维期间能够有效的保障人员、设备安全，减少或避免对环境的影响。根据安全及文明措施进行评审： 1. 安全文明措施包含人员、设备安全措施，及环境保护措施，且措施详细全面，可实施性强，能够有效起到指导和保障作用，得9分； 2. 安全文明措施包含人员、设备安全措施，及环境保护措施，措施基本全面，内容较为丰富，能够起到一定的指导和保障作用，有一定的实施性，得6分； 3. 安全文明措施中缺少人员、设备或环境任意一项的相关描述，或者有相关内容，但内容过于简单，无指导和保障作用，无法实施，得3分； 4.安全文明措施中缺少人员、设备或环境任意两项或以上的相关描述，或者有相关内容，但内容过于简单，无指导和保障作用，无法实施，得1分。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设备保养维护方案</w:t>
            </w:r>
          </w:p>
        </w:tc>
        <w:tc>
          <w:tcPr>
            <w:tcW w:type="dxa" w:w="2492"/>
          </w:tcPr>
          <w:p>
            <w:pPr>
              <w:pStyle w:val="null3"/>
            </w:pPr>
            <w:r>
              <w:rPr>
                <w:rFonts w:ascii="仿宋_GB2312" w:hAnsi="仿宋_GB2312" w:cs="仿宋_GB2312" w:eastAsia="仿宋_GB2312"/>
              </w:rPr>
              <w:t>供应商有针对本项目运维过程中的设备保养维护方案，包括设备日常维护保养、重要设备的定期维护、保养维护计划、保养维护记录等。 一、评审内容 ①设备基础信息管理；②巡检与监测计划；③设备日常维护保养计划；④重要设备的定期维护计划；⑤维修记录与改进机制。 二、评审标准 ①全面性：内容全面，包括所有评审内容，无遗漏； ②详细性：内容详细，针对每一评审内容能够有明确具体的描述和说明； ③合理性：内容合理，准确，符合项目实际情况，有利于项目的实施。 三、赋分标准 每一项评审内容满足每一项评审标准得1分，最多得15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供应商为完成本项目运维服务，配备的专职人员不少于6人，其中包含管理人员1人，满足要求得5分。不足6人，本项不得分。每多增加1人加1分，本项最多得7分。 注：所配备专职人员须提供身份证明、劳动合同关系证明。</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1. 管理人员具备类似污水运营项目管理经验，提供管理经验证明，不限于合同、甲方证明等，满足得2分，否则不得分； 2. 所配备的专职人员具备环境、污水处理中级以上职称或与工作相关岗位证书，每有1人具备得1分；本项最多得5分。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运维资料及档案管理措施</w:t>
            </w:r>
          </w:p>
        </w:tc>
        <w:tc>
          <w:tcPr>
            <w:tcW w:type="dxa" w:w="2492"/>
          </w:tcPr>
          <w:p>
            <w:pPr>
              <w:pStyle w:val="null3"/>
            </w:pPr>
            <w:r>
              <w:rPr>
                <w:rFonts w:ascii="仿宋_GB2312" w:hAnsi="仿宋_GB2312" w:cs="仿宋_GB2312" w:eastAsia="仿宋_GB2312"/>
              </w:rPr>
              <w:t>供应商有完善的运维资料及档案管理措施，能够有效的保证资料和档案的记录的及时性、完整性、准确性、可追溯性，根据管理措施进行评审： 1. 运维资料及档案管理措施完善得当，能够满足①记录的及时性、②档案的完整性、③记录数据的准确性、④档案资料的可追溯性，每满足1项要求得1.5分，最多6分；每项存在一处漏洞或缺陷扣0.5分，1.5分扣完为止；此处缺陷和漏洞是指：①内容不够详细，简单粗略，描述含糊；②内容不够合理，不贴合项目实际情况；③内容未针对本项目，明显不符；④内容存在逻辑错误，表述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根据供应商2022年1月1日至今完成的类似污水站托运项目业绩进行评审(以合同签订时间为准，每个业绩证明需提供完整合同复印件及发票转账凭证作为评审依据)：每提供一份有效业绩证明得1分，满分为10分。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2.以最終报价进行评审； 3.最低评审价为评审基准价，得15分。 4.按(评审基准价/评审价×15)的公式计算价格得分； 5.磋商报价不完整的，不进入磋商基准价的计算，本项得0分。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详见附件：供应商须提供的资格证明文件</w:t>
      </w:r>
    </w:p>
    <w:p>
      <w:pPr>
        <w:pStyle w:val="null3"/>
        <w:ind w:firstLine="960"/>
      </w:pPr>
      <w:r>
        <w:rPr>
          <w:rFonts w:ascii="仿宋_GB2312" w:hAnsi="仿宋_GB2312" w:cs="仿宋_GB2312" w:eastAsia="仿宋_GB2312"/>
        </w:rPr>
        <w:t>详见附件：其他声明文件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