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版本号：ZHZB-2025-8120250723001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“民族正气翻危局--纪念中国人民抗日战争暨世界反法西斯战争胜利80周年”主题展览项目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ZHZB-2025-81</w:t>
      </w:r>
      <w:r>
        <w:br/>
      </w:r>
      <w:r>
        <w:br/>
      </w:r>
      <w:r>
        <w:br/>
      </w:r>
    </w:p>
    <w:p>
      <w:pPr>
        <w:pStyle w:val="null3"/>
        <w:jc w:val="center"/>
        <w:outlineLvl w:val="2"/>
      </w:pPr>
      <w:r>
        <w:rPr>
          <w:rFonts w:ascii="仿宋_GB2312" w:hAnsi="仿宋_GB2312" w:cs="仿宋_GB2312" w:eastAsia="仿宋_GB2312"/>
          <w:sz w:val="28"/>
          <w:b/>
        </w:rPr>
        <w:t>西安事变纪念馆</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西安事变纪念馆</w:t>
      </w:r>
      <w:r>
        <w:rPr>
          <w:rFonts w:ascii="仿宋_GB2312" w:hAnsi="仿宋_GB2312" w:cs="仿宋_GB2312" w:eastAsia="仿宋_GB2312"/>
        </w:rPr>
        <w:t>委托，拟对</w:t>
      </w:r>
      <w:r>
        <w:rPr>
          <w:rFonts w:ascii="仿宋_GB2312" w:hAnsi="仿宋_GB2312" w:cs="仿宋_GB2312" w:eastAsia="仿宋_GB2312"/>
        </w:rPr>
        <w:t>“民族正气翻危局--纪念中国人民抗日战争暨世界反法西斯战争胜利80周年”主题展览项目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“民族正气翻危局--纪念中国人民抗日战争暨世界反法西斯战争胜利80周年”主题展览项目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西安事变及全民族抗战历史为核心，聚焦“民族正气翻危局”主题，通过图文展板、实物，多媒体互动、场景复原等多元化展陈形式，结合VR全景、人工智能知识库等数字化手段，打造具有代入感、沉浸感和真实感的沉浸式展览体验，提升展览表现力、传播力和影响力。同时，强化爱国主义教育，融入“大思政课”建设，创新“1+N”主题教育模式，推动历史文化传播与学术研究，红色文化惠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采购包1（“民族正气翻危局--纪念中国人民抗日战争暨世界反法西斯战争胜利80周年”主题展览项目）：属于专门面向中小企业采购。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如下：（1）供应商的营业执照等证明文件，自然人的身份证明；（2）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截止时间前半年内任意一个月的纳税证明或完税证明，依法免税的单位应提供相关证明材料；（5）社会保障资金缴纳证明：提供磋商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供应商须具备建筑装修装饰工程专业承包贰级及以上资质且具有有效的安全生产许可证；（11）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西安事变纪念馆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西安市建国路69号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029-87421001-723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唐昊、王臻、王阿磊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15686470916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代理服务费收费标准：参照国家发展计划委员会计价格【2002】1980号文件及国家发展和改革委员会办公厅颁发的《关于招标代理服务收费有关问题的通知》（发改价格【2011】534号）的规定服务类标准收取。 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西安事变纪念馆</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西安事变纪念馆</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西安事变纪念馆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和磋商文件的要求、供应商提交的磋商响应文件、合同以及国家标准与行业规范的标准和规定执行；在实施过程中，如果国家或有关部门颁布了新的标准和规定，则供应商应采用新的标准和规定进行实施。供应商提出验收申请之日起7日内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联系人：唐昊、王臻、王阿磊</w:t>
      </w:r>
    </w:p>
    <w:p>
      <w:pPr>
        <w:pStyle w:val="null3"/>
      </w:pPr>
      <w:r>
        <w:rPr>
          <w:rFonts w:ascii="仿宋_GB2312" w:hAnsi="仿宋_GB2312" w:cs="仿宋_GB2312" w:eastAsia="仿宋_GB2312"/>
        </w:rPr>
        <w:t>联系电话：15686470916</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西安事变及全民族抗战历史为核心，聚焦“民族正气翻危局”主题，通过图文展板、实物，多媒体互动、场景复原等多元化展陈形式，结合VR全景、人工智能知识库等数字化手段，打造具有代入感、沉浸感和真实感的沉浸式展览体验，提升展览表现力、传播力和影响力。同时，强化爱国主义教育，融入“大思政课”建设，创新“1+N”主题教育模式，推动历史文化传播与学术研究，红色文化惠民。本项目所属行业：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西安事变纪念馆“民族正气翻危局--纪念 中国人民抗日战争暨世界反法西斯战争胜利80周年”主题展览项目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标的名称：西安事变纪念馆“民族正气翻危局--纪念 中国人民抗日战争暨世界反法西斯战争胜利80周年”主题展览项目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pPr>
            <w:r>
              <w:rPr>
                <w:rFonts w:ascii="仿宋_GB2312" w:hAnsi="仿宋_GB2312" w:cs="仿宋_GB2312" w:eastAsia="仿宋_GB2312"/>
                <w:sz w:val="21"/>
                <w:b/>
              </w:rPr>
              <w:t>一、服务内容</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专家咨询：本次项目计划涵盖</w:t>
            </w:r>
            <w:r>
              <w:rPr>
                <w:rFonts w:ascii="仿宋_GB2312" w:hAnsi="仿宋_GB2312" w:cs="仿宋_GB2312" w:eastAsia="仿宋_GB2312"/>
                <w:sz w:val="21"/>
              </w:rPr>
              <w:t>5</w:t>
            </w:r>
            <w:r>
              <w:rPr>
                <w:rFonts w:ascii="仿宋_GB2312" w:hAnsi="仿宋_GB2312" w:cs="仿宋_GB2312" w:eastAsia="仿宋_GB2312"/>
                <w:sz w:val="21"/>
              </w:rPr>
              <w:t>次专家咨询活动。每次咨询活动将邀请相关领域的专家学者，为项目提供专业的意见和建议，确保项目内容的科学性、准确性和权威性。咨询活动形式包括但不限于会议、现场访谈或线上交流，旨在通过专家的专业指导，提升项目的整体质量和实施效果。</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主题展览：本次</w:t>
            </w:r>
            <w:r>
              <w:rPr>
                <w:rFonts w:ascii="仿宋_GB2312" w:hAnsi="仿宋_GB2312" w:cs="仿宋_GB2312" w:eastAsia="仿宋_GB2312"/>
                <w:sz w:val="21"/>
              </w:rPr>
              <w:t>“民族正气翻危局”主题展览展厅面积240平方米。展厅基础改造包括顶面、地面、墙面、修缮改造施工以及灯光系统的升级，旨在为观众营造庄重、舒适的参观环境。多媒体设备购置涵盖投影仪和显示屏幕等，同时展览互动内容开发将融入线上展览、抗战投影交互和导展视频，借助现代科技手段提升观众的参与感和沉浸感。</w:t>
            </w:r>
          </w:p>
          <w:tbl>
            <w:tblPr>
              <w:tblInd w:type="dxa" w:w="120"/>
              <w:tblBorders>
                <w:top w:val="none" w:color="000000" w:sz="4"/>
                <w:left w:val="none" w:color="000000" w:sz="4"/>
                <w:bottom w:val="none" w:color="000000" w:sz="4"/>
                <w:right w:val="none" w:color="000000" w:sz="4"/>
                <w:insideH w:val="none"/>
                <w:insideV w:val="none"/>
              </w:tblBorders>
            </w:tblPr>
            <w:tblGrid>
              <w:gridCol w:w="380"/>
              <w:gridCol w:w="455"/>
              <w:gridCol w:w="801"/>
              <w:gridCol w:w="481"/>
              <w:gridCol w:w="429"/>
            </w:tblGrid>
            <w:tr>
              <w:tc>
                <w:tcPr>
                  <w:tcW w:type="dxa" w:w="1636"/>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主题展览</w:t>
                  </w:r>
                  <w:r>
                    <w:rPr>
                      <w:rFonts w:ascii="仿宋_GB2312" w:hAnsi="仿宋_GB2312" w:cs="仿宋_GB2312" w:eastAsia="仿宋_GB2312"/>
                      <w:sz w:val="21"/>
                    </w:rPr>
                    <w:t>包含内容</w:t>
                  </w:r>
                </w:p>
              </w:tc>
              <w:tc>
                <w:tcPr>
                  <w:tcW w:type="dxa" w:w="4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单位</w:t>
                  </w:r>
                </w:p>
              </w:tc>
              <w:tc>
                <w:tcPr>
                  <w:tcW w:type="dxa" w:w="4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数量</w:t>
                  </w:r>
                </w:p>
              </w:tc>
            </w:tr>
            <w:tr>
              <w:tc>
                <w:tcPr>
                  <w:tcW w:type="dxa" w:w="38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展览设计</w:t>
                  </w:r>
                </w:p>
              </w:tc>
              <w:tc>
                <w:tcPr>
                  <w:tcW w:type="dxa" w:w="12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概念与深化设计</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240</w:t>
                  </w:r>
                </w:p>
              </w:tc>
            </w:tr>
            <w:tr>
              <w:tc>
                <w:tcPr>
                  <w:tcW w:type="dxa" w:w="380"/>
                  <w:vMerge/>
                  <w:tcBorders>
                    <w:top w:val="none" w:color="000000" w:sz="4"/>
                    <w:left w:val="single" w:color="000000" w:sz="4"/>
                    <w:bottom w:val="none" w:color="000000" w:sz="4"/>
                    <w:right w:val="single" w:color="000000" w:sz="4"/>
                  </w:tcBorders>
                </w:tcPr>
                <w:p/>
              </w:tc>
              <w:tc>
                <w:tcPr>
                  <w:tcW w:type="dxa" w:w="125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施工图设计</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100</w:t>
                  </w:r>
                </w:p>
              </w:tc>
            </w:tr>
            <w:tr>
              <w:tc>
                <w:tcPr>
                  <w:tcW w:type="dxa" w:w="3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展厅基础改造</w:t>
                  </w:r>
                </w:p>
              </w:tc>
              <w:tc>
                <w:tcPr>
                  <w:tcW w:type="dxa" w:w="455"/>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顶面工程</w:t>
                  </w: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方通吊顶</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200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none" w:color="000000" w:sz="4"/>
                    <w:right w:val="single" w:color="000000" w:sz="4"/>
                  </w:tcBorders>
                </w:tc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装饰灯</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套</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70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none" w:color="000000" w:sz="4"/>
                    <w:right w:val="single" w:color="000000" w:sz="4"/>
                  </w:tcBorders>
                </w:tc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电气配管</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m</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none" w:color="000000" w:sz="4"/>
                    <w:right w:val="single" w:color="000000" w:sz="4"/>
                  </w:tcBorders>
                </w:tc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电气配线</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m</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100</w:t>
                  </w:r>
                </w:p>
              </w:tc>
            </w:tr>
            <w:tr>
              <w:tc>
                <w:tcPr>
                  <w:tcW w:type="dxa" w:w="380"/>
                  <w:vMerge/>
                  <w:tcBorders>
                    <w:top w:val="none" w:color="000000" w:sz="4"/>
                    <w:left w:val="single" w:color="000000" w:sz="4"/>
                    <w:bottom w:val="single" w:color="000000" w:sz="4"/>
                    <w:right w:val="single" w:color="000000" w:sz="4"/>
                  </w:tcBorders>
                </w:tcPr>
                <w:p/>
              </w:tc>
              <w:tc>
                <w:tcPr>
                  <w:tcW w:type="dxa" w:w="455"/>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地面工程</w:t>
                  </w: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水泥自流平</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200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none" w:color="000000" w:sz="4"/>
                    <w:right w:val="single" w:color="000000" w:sz="4"/>
                  </w:tcBorders>
                </w:tc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塑胶地面铺设</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200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none" w:color="000000" w:sz="4"/>
                    <w:right w:val="single" w:color="000000" w:sz="4"/>
                  </w:tcBorders>
                </w:tcPr>
                <w:p/>
              </w:tc>
              <w:tc>
                <w:tcPr>
                  <w:tcW w:type="dxa" w:w="8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金属装饰线</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m</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100</w:t>
                  </w:r>
                </w:p>
              </w:tc>
            </w:tr>
            <w:tr>
              <w:tc>
                <w:tcPr>
                  <w:tcW w:type="dxa" w:w="380"/>
                  <w:vMerge/>
                  <w:tcBorders>
                    <w:top w:val="none" w:color="000000" w:sz="4"/>
                    <w:left w:val="single" w:color="000000" w:sz="4"/>
                    <w:bottom w:val="single" w:color="000000" w:sz="4"/>
                    <w:right w:val="single" w:color="000000" w:sz="4"/>
                  </w:tcBorders>
                </w:tcPr>
                <w:p/>
              </w:tc>
              <w:tc>
                <w:tcPr>
                  <w:tcW w:type="dxa" w:w="45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墙面工程</w:t>
                  </w: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墙面基层</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240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二级造型基层</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172</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墙面面层乳胶漆、腻子</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300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拆除</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240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垃圾清运</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墙面地面保护</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运输费</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展厅综合布展</w:t>
                  </w:r>
                  <w:r>
                    <w:rPr>
                      <w:rFonts w:ascii="仿宋_GB2312" w:hAnsi="仿宋_GB2312" w:cs="仿宋_GB2312" w:eastAsia="仿宋_GB2312"/>
                      <w:sz w:val="21"/>
                    </w:rPr>
                    <w:t>部分</w:t>
                  </w: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展览背景贴图</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300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序厅造型主题墙</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20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立体展板定制</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60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立体字</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美工安装人工费</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天</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3</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安装辅材</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多媒体设备</w:t>
                  </w:r>
                </w:p>
              </w:tc>
              <w:tc>
                <w:tcPr>
                  <w:tcW w:type="dxa" w:w="4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投影仪</w:t>
                  </w: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投影机</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台</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多媒体触控屏</w:t>
                  </w: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展厅互动触控视界电视</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台</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展览互动内容开发</w:t>
                  </w:r>
                </w:p>
              </w:tc>
              <w:tc>
                <w:tcPr>
                  <w:tcW w:type="dxa" w:w="45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抗战投影交互</w:t>
                  </w: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互动内容设计制作</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套</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技术调试优化</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套</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全景线上展览</w:t>
                  </w: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室内全景数据采集</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点位</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50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图像数据处理</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张</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50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重点模型、内容热点添加</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个</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100</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程序打包</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套</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集成测试、兼容测试</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套</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软件系统部署安装</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套</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导展视频</w:t>
                  </w: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视频拍摄</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部</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380"/>
                  <w:vMerge/>
                  <w:tcBorders>
                    <w:top w:val="none" w:color="000000" w:sz="4"/>
                    <w:left w:val="single" w:color="000000" w:sz="4"/>
                    <w:bottom w:val="single" w:color="000000" w:sz="4"/>
                    <w:right w:val="single" w:color="000000" w:sz="4"/>
                  </w:tcBorders>
                </w:tcPr>
                <w:p/>
              </w:tc>
              <w:tc>
                <w:tcPr>
                  <w:tcW w:type="dxa" w:w="455"/>
                  <w:vMerge/>
                  <w:tcBorders>
                    <w:top w:val="none" w:color="000000" w:sz="4"/>
                    <w:left w:val="none" w:color="000000" w:sz="4"/>
                    <w:bottom w:val="single" w:color="000000" w:sz="4"/>
                    <w:right w:val="single" w:color="000000" w:sz="4"/>
                  </w:tcBorders>
                </w:tcPr>
                <w:p/>
              </w:tc>
              <w:tc>
                <w:tcPr>
                  <w:tcW w:type="dxa" w:w="8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配音与后期制作</w:t>
                  </w:r>
                </w:p>
              </w:tc>
              <w:tc>
                <w:tcPr>
                  <w:tcW w:type="dxa" w:w="4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部</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bl>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主题巡展展览：巡展通过</w:t>
            </w:r>
            <w:r>
              <w:rPr>
                <w:rFonts w:ascii="仿宋_GB2312" w:hAnsi="仿宋_GB2312" w:cs="仿宋_GB2312" w:eastAsia="仿宋_GB2312"/>
                <w:sz w:val="21"/>
              </w:rPr>
              <w:t>40</w:t>
            </w:r>
            <w:r>
              <w:rPr>
                <w:rFonts w:ascii="仿宋_GB2312" w:hAnsi="仿宋_GB2312" w:cs="仿宋_GB2312" w:eastAsia="仿宋_GB2312"/>
                <w:sz w:val="21"/>
              </w:rPr>
              <w:t>块</w:t>
            </w:r>
            <w:r>
              <w:rPr>
                <w:rFonts w:ascii="仿宋_GB2312" w:hAnsi="仿宋_GB2312" w:cs="仿宋_GB2312" w:eastAsia="仿宋_GB2312"/>
                <w:sz w:val="21"/>
              </w:rPr>
              <w:t>精心设计的展板，以简洁明了、图文并茂的形式呈现展览核心内容，突出西安事变的历史背景、重大意义及全民族抗战的壮丽篇章。展板设计注重视觉效果与教育功能的结合，便于在不同地区和场所展示。项目将制作</w:t>
            </w:r>
            <w:r>
              <w:rPr>
                <w:rFonts w:ascii="仿宋_GB2312" w:hAnsi="仿宋_GB2312" w:cs="仿宋_GB2312" w:eastAsia="仿宋_GB2312"/>
                <w:sz w:val="21"/>
              </w:rPr>
              <w:t>2套展板，更换使用，满足多地巡展需求，采用高质量材料，确保耐用性和便携性。</w:t>
            </w:r>
          </w:p>
          <w:tbl>
            <w:tblPr>
              <w:tblInd w:type="dxa" w:w="105"/>
              <w:tblBorders>
                <w:top w:val="none" w:color="000000" w:sz="4"/>
                <w:left w:val="none" w:color="000000" w:sz="4"/>
                <w:bottom w:val="none" w:color="000000" w:sz="4"/>
                <w:right w:val="none" w:color="000000" w:sz="4"/>
                <w:insideH w:val="none"/>
                <w:insideV w:val="none"/>
              </w:tblBorders>
            </w:tblPr>
            <w:tblGrid>
              <w:gridCol w:w="1440"/>
              <w:gridCol w:w="604"/>
              <w:gridCol w:w="504"/>
            </w:tblGrid>
            <w:tr>
              <w:tc>
                <w:tcPr>
                  <w:tcW w:type="dxa" w:w="14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主题巡展展览</w:t>
                  </w:r>
                  <w:r>
                    <w:rPr>
                      <w:rFonts w:ascii="仿宋_GB2312" w:hAnsi="仿宋_GB2312" w:cs="仿宋_GB2312" w:eastAsia="仿宋_GB2312"/>
                      <w:sz w:val="21"/>
                    </w:rPr>
                    <w:t>包含内容</w:t>
                  </w:r>
                </w:p>
              </w:tc>
              <w:tc>
                <w:tcPr>
                  <w:tcW w:type="dxa" w:w="6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单位</w:t>
                  </w:r>
                </w:p>
              </w:tc>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数量</w:t>
                  </w:r>
                </w:p>
              </w:tc>
            </w:tr>
            <w:tr>
              <w:tc>
                <w:tcPr>
                  <w:tcW w:type="dxa" w:w="1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展板版式设计</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块</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40</w:t>
                  </w:r>
                </w:p>
              </w:tc>
            </w:tr>
            <w:tr>
              <w:tc>
                <w:tcPr>
                  <w:tcW w:type="dxa" w:w="1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金属展架</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件</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80</w:t>
                  </w:r>
                </w:p>
              </w:tc>
            </w:tr>
            <w:tr>
              <w:tc>
                <w:tcPr>
                  <w:tcW w:type="dxa" w:w="14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展架喷绘制作</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块</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80</w:t>
                  </w:r>
                </w:p>
              </w:tc>
            </w:tr>
          </w:tbl>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大思政教育：涵盖高校线上思政课</w:t>
            </w:r>
            <w:r>
              <w:rPr>
                <w:rFonts w:ascii="仿宋_GB2312" w:hAnsi="仿宋_GB2312" w:cs="仿宋_GB2312" w:eastAsia="仿宋_GB2312"/>
                <w:sz w:val="21"/>
              </w:rPr>
              <w:t>2场和进校园教育活动5场。其中，线上思政课则采用直播形式，邀请知名教授授课，突破时空限制，进一步扩大思政教育的覆盖面和影响力，进校园活动以宣讲形式讲述西安事变及全民族抗战的历史意义，由宣讲团队深入高校开展活动，激发学生的爱国情怀。</w:t>
            </w:r>
          </w:p>
          <w:tbl>
            <w:tblPr>
              <w:tblInd w:type="dxa" w:w="135"/>
              <w:tblBorders>
                <w:top w:val="none" w:color="000000" w:sz="4"/>
                <w:left w:val="none" w:color="000000" w:sz="4"/>
                <w:bottom w:val="none" w:color="000000" w:sz="4"/>
                <w:right w:val="none" w:color="000000" w:sz="4"/>
                <w:insideH w:val="none"/>
                <w:insideV w:val="none"/>
              </w:tblBorders>
            </w:tblPr>
            <w:tblGrid>
              <w:gridCol w:w="1436"/>
              <w:gridCol w:w="606"/>
              <w:gridCol w:w="506"/>
            </w:tblGrid>
            <w:tr>
              <w:tc>
                <w:tcPr>
                  <w:tcW w:type="dxa" w:w="1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大思政教育包含内容</w:t>
                  </w:r>
                </w:p>
              </w:tc>
              <w:tc>
                <w:tcPr>
                  <w:tcW w:type="dxa" w:w="6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单位</w:t>
                  </w:r>
                </w:p>
              </w:tc>
              <w:tc>
                <w:tcPr>
                  <w:tcW w:type="dxa" w:w="5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数量</w:t>
                  </w:r>
                </w:p>
              </w:tc>
            </w:tr>
            <w:tr>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线上思政课</w:t>
                  </w:r>
                </w:p>
              </w:tc>
              <w:tc>
                <w:tcPr>
                  <w:tcW w:type="dxa" w:w="6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场</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2</w:t>
                  </w:r>
                </w:p>
              </w:tc>
            </w:tr>
            <w:tr>
              <w:tc>
                <w:tcPr>
                  <w:tcW w:type="dxa" w:w="1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进校园开展教育活动</w:t>
                  </w:r>
                </w:p>
              </w:tc>
              <w:tc>
                <w:tcPr>
                  <w:tcW w:type="dxa" w:w="6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场</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5</w:t>
                  </w:r>
                </w:p>
              </w:tc>
            </w:tr>
          </w:tbl>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西安抗战主题游径设计开发：游径以西安事变纪念馆、八路军西安办事处纪念馆和大华纱厂旧址为核心节点，结合三处场馆的历史文化内涵，开发</w:t>
            </w:r>
            <w:r>
              <w:rPr>
                <w:rFonts w:ascii="仿宋_GB2312" w:hAnsi="仿宋_GB2312" w:cs="仿宋_GB2312" w:eastAsia="仿宋_GB2312"/>
                <w:sz w:val="21"/>
              </w:rPr>
              <w:t>3节主题研学课程，并设计1本配套研学活动手册。通过整合这些红色资源，主题游径旨在为学生和游客提供沉浸式的抗战历史学习体验，帮助他们深入了解西安在抗日战争中的重要地位和历史贡献，同时弘扬爱国主义精神，传承红色基因。</w:t>
            </w:r>
          </w:p>
          <w:tbl>
            <w:tblPr>
              <w:tblInd w:type="dxa" w:w="105"/>
              <w:tblBorders>
                <w:top w:val="none" w:color="000000" w:sz="4"/>
                <w:left w:val="none" w:color="000000" w:sz="4"/>
                <w:bottom w:val="none" w:color="000000" w:sz="4"/>
                <w:right w:val="none" w:color="000000" w:sz="4"/>
                <w:insideH w:val="none"/>
                <w:insideV w:val="none"/>
              </w:tblBorders>
            </w:tblPr>
            <w:tblGrid>
              <w:gridCol w:w="513"/>
              <w:gridCol w:w="926"/>
              <w:gridCol w:w="604"/>
              <w:gridCol w:w="504"/>
            </w:tblGrid>
            <w:tr>
              <w:tc>
                <w:tcPr>
                  <w:tcW w:type="dxa" w:w="143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西安抗战主题游径设计开发</w:t>
                  </w:r>
                  <w:r>
                    <w:rPr>
                      <w:rFonts w:ascii="仿宋_GB2312" w:hAnsi="仿宋_GB2312" w:cs="仿宋_GB2312" w:eastAsia="仿宋_GB2312"/>
                      <w:sz w:val="21"/>
                    </w:rPr>
                    <w:t>包含内容</w:t>
                  </w:r>
                </w:p>
              </w:tc>
              <w:tc>
                <w:tcPr>
                  <w:tcW w:type="dxa" w:w="6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单位</w:t>
                  </w:r>
                </w:p>
              </w:tc>
              <w:tc>
                <w:tcPr>
                  <w:tcW w:type="dxa" w:w="5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数量</w:t>
                  </w:r>
                </w:p>
              </w:tc>
            </w:tr>
            <w:tr>
              <w:tc>
                <w:tcPr>
                  <w:tcW w:type="dxa" w:w="5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主题游径规划与设计</w:t>
                  </w:r>
                </w:p>
              </w:tc>
              <w:tc>
                <w:tcPr>
                  <w:tcW w:type="dxa" w:w="9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游径线路规划</w:t>
                  </w:r>
                </w:p>
              </w:tc>
              <w:tc>
                <w:tcPr>
                  <w:tcW w:type="dxa" w:w="6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5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513"/>
                  <w:vMerge/>
                  <w:tcBorders>
                    <w:top w:val="none" w:color="000000" w:sz="4"/>
                    <w:left w:val="single" w:color="000000" w:sz="4"/>
                    <w:bottom w:val="single" w:color="000000" w:sz="4"/>
                    <w:right w:val="single" w:color="000000" w:sz="4"/>
                  </w:tcBorders>
                </w:tcPr>
                <w:p/>
              </w:tc>
              <w:tc>
                <w:tcPr>
                  <w:tcW w:type="dxa" w:w="9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节点设计与展示</w:t>
                  </w:r>
                </w:p>
              </w:tc>
              <w:tc>
                <w:tcPr>
                  <w:tcW w:type="dxa" w:w="6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5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3</w:t>
                  </w:r>
                </w:p>
              </w:tc>
            </w:tr>
            <w:tr>
              <w:tc>
                <w:tcPr>
                  <w:tcW w:type="dxa" w:w="5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红色教育课程开发</w:t>
                  </w:r>
                </w:p>
              </w:tc>
              <w:tc>
                <w:tcPr>
                  <w:tcW w:type="dxa" w:w="9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课程内容策划</w:t>
                  </w:r>
                </w:p>
              </w:tc>
              <w:tc>
                <w:tcPr>
                  <w:tcW w:type="dxa" w:w="6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5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3</w:t>
                  </w:r>
                </w:p>
              </w:tc>
            </w:tr>
            <w:tr>
              <w:tc>
                <w:tcPr>
                  <w:tcW w:type="dxa" w:w="513"/>
                  <w:vMerge/>
                  <w:tcBorders>
                    <w:top w:val="none" w:color="000000" w:sz="4"/>
                    <w:left w:val="single" w:color="000000" w:sz="4"/>
                    <w:bottom w:val="single" w:color="000000" w:sz="4"/>
                    <w:right w:val="single" w:color="000000" w:sz="4"/>
                  </w:tcBorders>
                </w:tcPr>
                <w:p/>
              </w:tc>
              <w:tc>
                <w:tcPr>
                  <w:tcW w:type="dxa" w:w="9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教案编写</w:t>
                  </w:r>
                </w:p>
              </w:tc>
              <w:tc>
                <w:tcPr>
                  <w:tcW w:type="dxa" w:w="6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5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3</w:t>
                  </w:r>
                </w:p>
              </w:tc>
            </w:tr>
            <w:tr>
              <w:tc>
                <w:tcPr>
                  <w:tcW w:type="dxa" w:w="513"/>
                  <w:vMerge/>
                  <w:tcBorders>
                    <w:top w:val="none" w:color="000000" w:sz="4"/>
                    <w:left w:val="single" w:color="000000" w:sz="4"/>
                    <w:bottom w:val="single" w:color="000000" w:sz="4"/>
                    <w:right w:val="single" w:color="000000" w:sz="4"/>
                  </w:tcBorders>
                </w:tcPr>
                <w:p/>
              </w:tc>
              <w:tc>
                <w:tcPr>
                  <w:tcW w:type="dxa" w:w="9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课件制作与优化</w:t>
                  </w:r>
                </w:p>
              </w:tc>
              <w:tc>
                <w:tcPr>
                  <w:tcW w:type="dxa" w:w="6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5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3</w:t>
                  </w:r>
                </w:p>
              </w:tc>
            </w:tr>
            <w:tr>
              <w:tc>
                <w:tcPr>
                  <w:tcW w:type="dxa" w:w="5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研学活动手册设计</w:t>
                  </w:r>
                </w:p>
              </w:tc>
              <w:tc>
                <w:tcPr>
                  <w:tcW w:type="dxa" w:w="9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内容策划与编写</w:t>
                  </w:r>
                </w:p>
              </w:tc>
              <w:tc>
                <w:tcPr>
                  <w:tcW w:type="dxa" w:w="6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5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r>
              <w:tc>
                <w:tcPr>
                  <w:tcW w:type="dxa" w:w="513"/>
                  <w:vMerge/>
                  <w:tcBorders>
                    <w:top w:val="none" w:color="000000" w:sz="4"/>
                    <w:left w:val="single" w:color="000000" w:sz="4"/>
                    <w:bottom w:val="single" w:color="000000" w:sz="4"/>
                    <w:right w:val="single" w:color="000000" w:sz="4"/>
                  </w:tcBorders>
                </w:tcPr>
                <w:p/>
              </w:tc>
              <w:tc>
                <w:tcPr>
                  <w:tcW w:type="dxa" w:w="9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版面设计与排版</w:t>
                  </w:r>
                </w:p>
              </w:tc>
              <w:tc>
                <w:tcPr>
                  <w:tcW w:type="dxa" w:w="6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项</w:t>
                  </w:r>
                </w:p>
              </w:tc>
              <w:tc>
                <w:tcPr>
                  <w:tcW w:type="dxa" w:w="5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w:t>
                  </w:r>
                </w:p>
              </w:tc>
            </w:tr>
          </w:tbl>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红色文创设计制作：以西安事变和全民族抗日战争为核心主题，围绕展览内容</w:t>
            </w:r>
            <w:r>
              <w:rPr>
                <w:rFonts w:ascii="仿宋_GB2312" w:hAnsi="仿宋_GB2312" w:cs="仿宋_GB2312" w:eastAsia="仿宋_GB2312"/>
                <w:sz w:val="21"/>
              </w:rPr>
              <w:t>设计</w:t>
            </w:r>
            <w:r>
              <w:rPr>
                <w:rFonts w:ascii="仿宋_GB2312" w:hAnsi="仿宋_GB2312" w:cs="仿宋_GB2312" w:eastAsia="仿宋_GB2312"/>
                <w:sz w:val="21"/>
              </w:rPr>
              <w:t>教育性、实用性和趣味性相结合的原则，深入挖掘红色文化资源，加强创意设计，贴近生活需要。开发的产品内容涵盖学习用品、生活用品以及体验式产品等。这些文创产品旨在通过革命文物元素与现代设计的结合，营造生动有趣的学习情境，引导大众尤其是青少年群体在日常使用中感知革命历史，进一步增强展览的吸引力和教育功能，同时推动红色文化的传播与传承。</w:t>
            </w:r>
            <w:r>
              <w:rPr>
                <w:rFonts w:ascii="仿宋_GB2312" w:hAnsi="仿宋_GB2312" w:cs="仿宋_GB2312" w:eastAsia="仿宋_GB2312"/>
                <w:sz w:val="21"/>
              </w:rPr>
              <w:t>项目共开发</w:t>
            </w:r>
            <w:r>
              <w:rPr>
                <w:rFonts w:ascii="仿宋_GB2312" w:hAnsi="仿宋_GB2312" w:cs="仿宋_GB2312" w:eastAsia="仿宋_GB2312"/>
                <w:sz w:val="21"/>
              </w:rPr>
              <w:t>3种文创，每种200个。</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基于人工智能的抗战知识库开发：</w:t>
            </w:r>
            <w:r>
              <w:rPr>
                <w:rFonts w:ascii="仿宋_GB2312" w:hAnsi="仿宋_GB2312" w:cs="仿宋_GB2312" w:eastAsia="仿宋_GB2312"/>
                <w:sz w:val="21"/>
              </w:rPr>
              <w:t>利用</w:t>
            </w:r>
            <w:r>
              <w:rPr>
                <w:rFonts w:ascii="仿宋_GB2312" w:hAnsi="仿宋_GB2312" w:cs="仿宋_GB2312" w:eastAsia="仿宋_GB2312"/>
                <w:sz w:val="21"/>
              </w:rPr>
              <w:t>Deep seek AI语言模型训练，部署</w:t>
            </w:r>
            <w:r>
              <w:rPr>
                <w:rFonts w:ascii="仿宋_GB2312" w:hAnsi="仿宋_GB2312" w:cs="仿宋_GB2312" w:eastAsia="仿宋_GB2312"/>
                <w:sz w:val="21"/>
              </w:rPr>
              <w:t>构建一个以西安事变及陕西抗战为核心主题的智能知识库系统。通过运用先进的人工智能技术，对西安事变的历史文献、人物关系、事件脉络以及抗战中的陕西等多维度资料进行深度挖掘与整合，实现知识的高效检索、可视化呈现。这一系统帮助研究人员更直观地理解西安事变的历史意义和全民族抗战的伟大历程，同时也为学术研究、展览策划和教育活动提供有力支持，推动革命历史文化的传承与创新。</w:t>
            </w:r>
          </w:p>
          <w:p>
            <w:pPr>
              <w:pStyle w:val="null3"/>
              <w:spacing w:after="120"/>
            </w:pPr>
            <w:r>
              <w:rPr>
                <w:rFonts w:ascii="仿宋_GB2312" w:hAnsi="仿宋_GB2312" w:cs="仿宋_GB2312" w:eastAsia="仿宋_GB2312"/>
                <w:sz w:val="21"/>
                <w:b/>
              </w:rPr>
              <w:t>二、服务要求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根据</w:t>
            </w:r>
            <w:r>
              <w:rPr>
                <w:rFonts w:ascii="仿宋_GB2312" w:hAnsi="仿宋_GB2312" w:cs="仿宋_GB2312" w:eastAsia="仿宋_GB2312"/>
                <w:sz w:val="21"/>
              </w:rPr>
              <w:t>西安事变</w:t>
            </w:r>
            <w:r>
              <w:rPr>
                <w:rFonts w:ascii="仿宋_GB2312" w:hAnsi="仿宋_GB2312" w:cs="仿宋_GB2312" w:eastAsia="仿宋_GB2312"/>
                <w:sz w:val="21"/>
              </w:rPr>
              <w:t>纪念</w:t>
            </w:r>
            <w:r>
              <w:rPr>
                <w:rFonts w:ascii="仿宋_GB2312" w:hAnsi="仿宋_GB2312" w:cs="仿宋_GB2312" w:eastAsia="仿宋_GB2312"/>
                <w:sz w:val="21"/>
              </w:rPr>
              <w:t>馆现场的实际情况</w:t>
            </w:r>
            <w:r>
              <w:rPr>
                <w:rFonts w:ascii="仿宋_GB2312" w:hAnsi="仿宋_GB2312" w:cs="仿宋_GB2312" w:eastAsia="仿宋_GB2312"/>
                <w:sz w:val="21"/>
              </w:rPr>
              <w:t>及本项目要求的服务内容</w:t>
            </w:r>
            <w:r>
              <w:rPr>
                <w:rFonts w:ascii="仿宋_GB2312" w:hAnsi="仿宋_GB2312" w:cs="仿宋_GB2312" w:eastAsia="仿宋_GB2312"/>
                <w:sz w:val="21"/>
              </w:rPr>
              <w:t>，制订可行的执行服务标准计划，</w:t>
            </w:r>
            <w:r>
              <w:rPr>
                <w:rFonts w:ascii="仿宋_GB2312" w:hAnsi="仿宋_GB2312" w:cs="仿宋_GB2312" w:eastAsia="仿宋_GB2312"/>
                <w:sz w:val="21"/>
              </w:rPr>
              <w:t>提供</w:t>
            </w:r>
            <w:r>
              <w:rPr>
                <w:rFonts w:ascii="仿宋_GB2312" w:hAnsi="仿宋_GB2312" w:cs="仿宋_GB2312" w:eastAsia="仿宋_GB2312"/>
                <w:sz w:val="21"/>
              </w:rPr>
              <w:t>基础设施拆除、改造，展览设计、制作以及配套巡展教育活动研发及实施</w:t>
            </w:r>
            <w:r>
              <w:rPr>
                <w:rFonts w:ascii="仿宋_GB2312" w:hAnsi="仿宋_GB2312" w:cs="仿宋_GB2312" w:eastAsia="仿宋_GB2312"/>
                <w:sz w:val="21"/>
              </w:rPr>
              <w:t>为一体的服务</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在展区功能划分及组合、空间利用上要有创意，要有很好的层次感、整体感和内在的逻辑顺序，展厅</w:t>
            </w:r>
            <w:r>
              <w:rPr>
                <w:rFonts w:ascii="仿宋_GB2312" w:hAnsi="仿宋_GB2312" w:cs="仿宋_GB2312" w:eastAsia="仿宋_GB2312"/>
                <w:sz w:val="21"/>
              </w:rPr>
              <w:t>既</w:t>
            </w:r>
            <w:r>
              <w:rPr>
                <w:rFonts w:ascii="仿宋_GB2312" w:hAnsi="仿宋_GB2312" w:cs="仿宋_GB2312" w:eastAsia="仿宋_GB2312"/>
                <w:sz w:val="21"/>
              </w:rPr>
              <w:t>要有不同的部分划分，又要有浑然一体的连贯性，</w:t>
            </w:r>
            <w:r>
              <w:rPr>
                <w:rFonts w:ascii="仿宋_GB2312" w:hAnsi="仿宋_GB2312" w:cs="仿宋_GB2312" w:eastAsia="仿宋_GB2312"/>
                <w:sz w:val="21"/>
              </w:rPr>
              <w:t>且</w:t>
            </w:r>
            <w:r>
              <w:rPr>
                <w:rFonts w:ascii="仿宋_GB2312" w:hAnsi="仿宋_GB2312" w:cs="仿宋_GB2312" w:eastAsia="仿宋_GB2312"/>
                <w:sz w:val="21"/>
              </w:rPr>
              <w:t>形式设计美观、实施安全可靠</w:t>
            </w:r>
            <w:r>
              <w:rPr>
                <w:rFonts w:ascii="仿宋_GB2312" w:hAnsi="仿宋_GB2312" w:cs="仿宋_GB2312" w:eastAsia="仿宋_GB2312"/>
                <w:sz w:val="21"/>
              </w:rPr>
              <w:t>。要用现代感强的展现手段和富有创意的构思，提升视觉效果，增强美感体验，给访客以深刻印象。</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提供</w:t>
            </w:r>
            <w:r>
              <w:rPr>
                <w:rFonts w:ascii="仿宋_GB2312" w:hAnsi="仿宋_GB2312" w:cs="仿宋_GB2312" w:eastAsia="仿宋_GB2312"/>
                <w:sz w:val="21"/>
              </w:rPr>
              <w:t>售后服务</w:t>
            </w:r>
            <w:r>
              <w:rPr>
                <w:rFonts w:ascii="仿宋_GB2312" w:hAnsi="仿宋_GB2312" w:cs="仿宋_GB2312" w:eastAsia="仿宋_GB2312"/>
                <w:sz w:val="21"/>
              </w:rPr>
              <w:t>：</w:t>
            </w:r>
            <w:r>
              <w:rPr>
                <w:rFonts w:ascii="仿宋_GB2312" w:hAnsi="仿宋_GB2312" w:cs="仿宋_GB2312" w:eastAsia="仿宋_GB2312"/>
                <w:sz w:val="21"/>
              </w:rPr>
              <w:t>有完善的</w:t>
            </w:r>
            <w:r>
              <w:rPr>
                <w:rFonts w:ascii="仿宋_GB2312" w:hAnsi="仿宋_GB2312" w:cs="仿宋_GB2312" w:eastAsia="仿宋_GB2312"/>
                <w:sz w:val="21"/>
              </w:rPr>
              <w:t>售后</w:t>
            </w:r>
            <w:r>
              <w:rPr>
                <w:rFonts w:ascii="仿宋_GB2312" w:hAnsi="仿宋_GB2312" w:cs="仿宋_GB2312" w:eastAsia="仿宋_GB2312"/>
                <w:sz w:val="21"/>
              </w:rPr>
              <w:t>服务体系，发生因馆内</w:t>
            </w:r>
            <w:r>
              <w:rPr>
                <w:rFonts w:ascii="仿宋_GB2312" w:hAnsi="仿宋_GB2312" w:cs="仿宋_GB2312" w:eastAsia="仿宋_GB2312"/>
                <w:sz w:val="21"/>
              </w:rPr>
              <w:t>展板、设备</w:t>
            </w:r>
            <w:r>
              <w:rPr>
                <w:rFonts w:ascii="仿宋_GB2312" w:hAnsi="仿宋_GB2312" w:cs="仿宋_GB2312" w:eastAsia="仿宋_GB2312"/>
                <w:sz w:val="21"/>
              </w:rPr>
              <w:t>需要临时调整时，能够快速响应，</w:t>
            </w:r>
            <w:r>
              <w:rPr>
                <w:rFonts w:ascii="仿宋_GB2312" w:hAnsi="仿宋_GB2312" w:cs="仿宋_GB2312" w:eastAsia="仿宋_GB2312"/>
                <w:sz w:val="21"/>
              </w:rPr>
              <w:t>12</w:t>
            </w:r>
            <w:r>
              <w:rPr>
                <w:rFonts w:ascii="仿宋_GB2312" w:hAnsi="仿宋_GB2312" w:cs="仿宋_GB2312" w:eastAsia="仿宋_GB2312"/>
                <w:sz w:val="21"/>
              </w:rPr>
              <w:t>小时内</w:t>
            </w:r>
            <w:r>
              <w:rPr>
                <w:rFonts w:ascii="仿宋_GB2312" w:hAnsi="仿宋_GB2312" w:cs="仿宋_GB2312" w:eastAsia="仿宋_GB2312"/>
                <w:sz w:val="21"/>
              </w:rPr>
              <w:t>进行调整</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为保护</w:t>
            </w:r>
            <w:r>
              <w:rPr>
                <w:rFonts w:ascii="仿宋_GB2312" w:hAnsi="仿宋_GB2312" w:cs="仿宋_GB2312" w:eastAsia="仿宋_GB2312"/>
                <w:sz w:val="21"/>
              </w:rPr>
              <w:t>馆内建筑物</w:t>
            </w:r>
            <w:r>
              <w:rPr>
                <w:rFonts w:ascii="仿宋_GB2312" w:hAnsi="仿宋_GB2312" w:cs="仿宋_GB2312" w:eastAsia="仿宋_GB2312"/>
                <w:sz w:val="21"/>
              </w:rPr>
              <w:t>安全，防火需要，安装现场不提供加工场地，不能使用任何明火设备。现场施工迅速高效，尽可能夜间施工，且不影响白天正常开放。特殊安装</w:t>
            </w:r>
            <w:r>
              <w:rPr>
                <w:rFonts w:ascii="仿宋_GB2312" w:hAnsi="仿宋_GB2312" w:cs="仿宋_GB2312" w:eastAsia="仿宋_GB2312"/>
                <w:sz w:val="21"/>
              </w:rPr>
              <w:t>需</w:t>
            </w:r>
            <w:r>
              <w:rPr>
                <w:rFonts w:ascii="仿宋_GB2312" w:hAnsi="仿宋_GB2312" w:cs="仿宋_GB2312" w:eastAsia="仿宋_GB2312"/>
                <w:sz w:val="21"/>
              </w:rPr>
              <w:t>跟</w:t>
            </w:r>
            <w:r>
              <w:rPr>
                <w:rFonts w:ascii="仿宋_GB2312" w:hAnsi="仿宋_GB2312" w:cs="仿宋_GB2312" w:eastAsia="仿宋_GB2312"/>
                <w:sz w:val="21"/>
              </w:rPr>
              <w:t>采购人</w:t>
            </w:r>
            <w:r>
              <w:rPr>
                <w:rFonts w:ascii="仿宋_GB2312" w:hAnsi="仿宋_GB2312" w:cs="仿宋_GB2312" w:eastAsia="仿宋_GB2312"/>
                <w:sz w:val="21"/>
              </w:rPr>
              <w:t>协商沟通后才能实施。</w:t>
            </w:r>
          </w:p>
          <w:p>
            <w:pPr>
              <w:pStyle w:val="null3"/>
              <w:spacing w:after="120"/>
            </w:pPr>
            <w:r>
              <w:rPr>
                <w:rFonts w:ascii="仿宋_GB2312" w:hAnsi="仿宋_GB2312" w:cs="仿宋_GB2312" w:eastAsia="仿宋_GB2312"/>
                <w:sz w:val="21"/>
                <w:b/>
              </w:rPr>
              <w:t>三、商务要求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服务期限</w:t>
            </w:r>
            <w:r>
              <w:rPr>
                <w:rFonts w:ascii="仿宋_GB2312" w:hAnsi="仿宋_GB2312" w:cs="仿宋_GB2312" w:eastAsia="仿宋_GB2312"/>
                <w:sz w:val="21"/>
              </w:rPr>
              <w:t>：</w:t>
            </w:r>
            <w:r>
              <w:rPr>
                <w:rFonts w:ascii="仿宋_GB2312" w:hAnsi="仿宋_GB2312" w:cs="仿宋_GB2312" w:eastAsia="仿宋_GB2312"/>
                <w:sz w:val="21"/>
              </w:rPr>
              <w:t>分两个阶段完成。</w:t>
            </w:r>
            <w:r>
              <w:rPr>
                <w:rFonts w:ascii="仿宋_GB2312" w:hAnsi="仿宋_GB2312" w:cs="仿宋_GB2312" w:eastAsia="仿宋_GB2312"/>
                <w:sz w:val="21"/>
              </w:rPr>
              <w:t>自合同签订之日起</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天内完成</w:t>
            </w:r>
            <w:r>
              <w:rPr>
                <w:rFonts w:ascii="仿宋_GB2312" w:hAnsi="仿宋_GB2312" w:cs="仿宋_GB2312" w:eastAsia="仿宋_GB2312"/>
                <w:sz w:val="21"/>
              </w:rPr>
              <w:t>本项目展</w:t>
            </w:r>
            <w:r>
              <w:rPr>
                <w:rFonts w:ascii="仿宋_GB2312" w:hAnsi="仿宋_GB2312" w:cs="仿宋_GB2312" w:eastAsia="仿宋_GB2312"/>
                <w:sz w:val="21"/>
              </w:rPr>
              <w:t>览部分内容，其他服务内容须在</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r>
              <w:rPr>
                <w:rFonts w:ascii="仿宋_GB2312" w:hAnsi="仿宋_GB2312" w:cs="仿宋_GB2312" w:eastAsia="仿宋_GB2312"/>
                <w:sz w:val="21"/>
              </w:rPr>
              <w:t>15</w:t>
            </w:r>
            <w:r>
              <w:rPr>
                <w:rFonts w:ascii="仿宋_GB2312" w:hAnsi="仿宋_GB2312" w:cs="仿宋_GB2312" w:eastAsia="仿宋_GB2312"/>
                <w:sz w:val="21"/>
              </w:rPr>
              <w:t>日前全部完成。</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服务地点</w:t>
            </w:r>
            <w:r>
              <w:rPr>
                <w:rFonts w:ascii="仿宋_GB2312" w:hAnsi="仿宋_GB2312" w:cs="仿宋_GB2312" w:eastAsia="仿宋_GB2312"/>
                <w:sz w:val="21"/>
              </w:rPr>
              <w:t>：</w:t>
            </w:r>
            <w:r>
              <w:rPr>
                <w:rFonts w:ascii="仿宋_GB2312" w:hAnsi="仿宋_GB2312" w:cs="仿宋_GB2312" w:eastAsia="仿宋_GB2312"/>
                <w:sz w:val="21"/>
              </w:rPr>
              <w:t>采购人指定地点。</w:t>
            </w:r>
          </w:p>
          <w:p>
            <w:pPr>
              <w:pStyle w:val="null3"/>
              <w:ind w:firstLine="420"/>
            </w:pPr>
            <w:r>
              <w:rPr>
                <w:rFonts w:ascii="仿宋_GB2312" w:hAnsi="仿宋_GB2312" w:cs="仿宋_GB2312" w:eastAsia="仿宋_GB2312"/>
                <w:sz w:val="21"/>
              </w:rPr>
              <w:t>3.质保期：一年（包含展览维护和知识库平台维护）。</w:t>
            </w:r>
          </w:p>
          <w:p>
            <w:pPr>
              <w:pStyle w:val="null3"/>
              <w:ind w:firstLine="420"/>
            </w:pPr>
            <w:r>
              <w:rPr>
                <w:rFonts w:ascii="仿宋_GB2312" w:hAnsi="仿宋_GB2312" w:cs="仿宋_GB2312" w:eastAsia="仿宋_GB2312"/>
                <w:sz w:val="21"/>
              </w:rPr>
              <w:t>4.付款方式</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1）本合同签订后7日内，甲方预付乙方合同价的40%作为预付款；</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完成所有服务内容后</w:t>
            </w:r>
            <w:r>
              <w:rPr>
                <w:rFonts w:ascii="仿宋_GB2312" w:hAnsi="仿宋_GB2312" w:cs="仿宋_GB2312" w:eastAsia="仿宋_GB2312"/>
                <w:sz w:val="21"/>
              </w:rPr>
              <w:t>7日内，甲方支付乙方合同价的40%作为进度款；</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3）整个项目验收合格并通过决算审核后7天内，甲方向乙方支付尾款，支付至</w:t>
            </w:r>
            <w:r>
              <w:rPr>
                <w:rFonts w:ascii="仿宋_GB2312" w:hAnsi="仿宋_GB2312" w:cs="仿宋_GB2312" w:eastAsia="仿宋_GB2312"/>
                <w:sz w:val="21"/>
              </w:rPr>
              <w:t>决算</w:t>
            </w:r>
            <w:r>
              <w:rPr>
                <w:rFonts w:ascii="仿宋_GB2312" w:hAnsi="仿宋_GB2312" w:cs="仿宋_GB2312" w:eastAsia="仿宋_GB2312"/>
                <w:sz w:val="21"/>
              </w:rPr>
              <w:t>金额的</w:t>
            </w:r>
            <w:r>
              <w:rPr>
                <w:rFonts w:ascii="仿宋_GB2312" w:hAnsi="仿宋_GB2312" w:cs="仿宋_GB2312" w:eastAsia="仿宋_GB2312"/>
                <w:sz w:val="21"/>
              </w:rPr>
              <w:t>100%；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4）甲方每次付款前，乙方需向甲方开具财务部门认可的等额发票。</w:t>
            </w:r>
          </w:p>
          <w:p>
            <w:pPr>
              <w:pStyle w:val="null3"/>
              <w:spacing w:after="120"/>
            </w:pPr>
            <w:r>
              <w:rPr>
                <w:rFonts w:ascii="仿宋_GB2312" w:hAnsi="仿宋_GB2312" w:cs="仿宋_GB2312" w:eastAsia="仿宋_GB2312"/>
                <w:sz w:val="21"/>
                <w:b/>
              </w:rPr>
              <w:t>四、其他</w:t>
            </w:r>
          </w:p>
          <w:p>
            <w:pPr>
              <w:pStyle w:val="null3"/>
              <w:spacing w:after="195"/>
            </w:pPr>
            <w:r>
              <w:rPr>
                <w:rFonts w:ascii="仿宋_GB2312" w:hAnsi="仿宋_GB2312" w:cs="仿宋_GB2312" w:eastAsia="仿宋_GB2312"/>
                <w:sz w:val="21"/>
              </w:rPr>
              <w:t>考核（验收）标准和方法：按照采购人和磋商文件的要求、供应商提交的磋商响应文件、合同以及国家标准与行业规范的标准和规定执行；在实施过程中，如果国家或有关部门颁布了新的标准和规定，则供应商应采用新的标准和规定进行实施。供应商提出验收申请之日起</w:t>
            </w:r>
            <w:r>
              <w:rPr>
                <w:rFonts w:ascii="仿宋_GB2312" w:hAnsi="仿宋_GB2312" w:cs="仿宋_GB2312" w:eastAsia="仿宋_GB2312"/>
                <w:sz w:val="21"/>
              </w:rPr>
              <w:t>7日内组织验收。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分两个阶段完成。自合同签订之日起25天内完成本项目展览部分内容，其他服务内容须在2025年11月15日前全部完成。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和磋商文件的要求、供应商提交的磋商响应文件、合同以及国家标准与行业规范的标准和规定执行；在实施过程中，如果国家或有关部门颁布了新的标准和规定，则供应商应采用新的标准和规定进行实施。供应商提出验收申请之日起7日内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本合同签订后7日内，甲方预付乙方合同价的40%作为预付款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完成所有服务内容后7日内，甲方支付乙方合同价的40%作为进度款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整个项目验收合格并通过决算审核后7天内，甲方向乙方支付尾款，支付至决算金额的100%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二、供应商的磋商报价包括设计费、人工费、管理费、材料与设备费、安装费、维护费、保险费、采购代理费、税金、利润、风险、责任等所有费用。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供应商是事业单位法人的，应提供2023或2024全年度经审计的财务报告，至少包括《资产负债表》《收入支出表或者收入费用表》《财政补助收入支出表》及其附注，或者提交响应文件截止时间前3个月内其基本账户开户银行出具的资信证明（附基本存款账户信息）； （3）其他组织和自然人，提供提交响应文件截止时间前3个月内银行出具的资信证明（附账户信息）； （4）供应商成立不到1年（至提交响应文件截止时间）的，提供成立后任意时段的资产负债表，或提交响应文件截止时间前3个月内其基本账户开户银行出具的资信证明（附基本存款账户信息）。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特定资格要求如下</w:t>
            </w:r>
          </w:p>
        </w:tc>
        <w:tc>
          <w:tcPr>
            <w:tcW w:type="dxa" w:w="3322"/>
          </w:tcPr>
          <w:p>
            <w:pPr>
              <w:pStyle w:val="null3"/>
            </w:pPr>
            <w:r>
              <w:rPr>
                <w:rFonts w:ascii="仿宋_GB2312" w:hAnsi="仿宋_GB2312" w:cs="仿宋_GB2312" w:eastAsia="仿宋_GB2312"/>
              </w:rPr>
              <w:t>（1）供应商的营业执照等证明文件，自然人的身份证明；（2）法定代表人参加磋商的，提供本人身份证复印件；法定代表人授权他人参加磋商的，提供法定代表人委托授权书并出示被授权代表的身份证复印件；（3）提供2023年度或2024年度经审计的财务会计报告或其提交响应文件截止时间前3个月内银行出具的资信证明。（4）税收缴纳证明：提供磋商截止时间前半年内任意一个月的纳税证明或完税证明，依法免税的单位应提供相关证明材料；（5）社会保障资金缴纳证明：提供磋商截止时间前半年内任意一个月的社会保障资金缴存单据或社保机构开具的社会保险参保缴费情况证明，依法不需要缴纳社会保障资金的单位应提供相关证明材料；（6）具备履行合同所必需的设备和专业技术能力的证明；（7）参加本次招标前3年内，在经营活动中没有重大违法记录的书面声明；（8）供应商未被“信用中国”网站列入失信被执行人、重大税收违法失信主体名单，未被“中国政府采购网”网站列入政府采购严重违法失信行为记录名单；（9）单位负责人为同一人或者存在直接控股、管理关系的不同供应商，不得参加同一合同项下的采购活动；（10）供应商须具备建筑装修装饰工程专业承包贰级及以上资质且具有有效的安全生产许可证；（11）本项目不接受联合体磋商。</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中小企业声明函 残疾人福利性单位声明函 商务技术部分 资格证明部分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残疾人福利性单位声明函 中小企业声明函 商务技术部分 资格证明部分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具有2020年7月1日至今的类似业绩(以合同签订日期为准)，业绩以合同复印件为依据。每个业绩计2分，3个以上(含3个)得6分。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针对本项目提供对项目的理解，包括但不限于①项目背景；②内容及意义的理解；③项目重点难点分析及应对措施。 各个部分内容全面、阐述条理清晰详尽、符合本项目采购需求且描述详细得9分；以上分项每缺少一项内容扣3分；有一项不完整或不符合实际要求或不满足实施要求或套用其他项目内容的每项得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主题展览实施方案</w:t>
            </w:r>
          </w:p>
        </w:tc>
        <w:tc>
          <w:tcPr>
            <w:tcW w:type="dxa" w:w="2492"/>
          </w:tcPr>
          <w:p>
            <w:pPr>
              <w:pStyle w:val="null3"/>
            </w:pPr>
            <w:r>
              <w:rPr>
                <w:rFonts w:ascii="仿宋_GB2312" w:hAnsi="仿宋_GB2312" w:cs="仿宋_GB2312" w:eastAsia="仿宋_GB2312"/>
              </w:rPr>
              <w:t>针对本项目提供主题展览实施方案，包括但不限于①展览设计理念；②深化平面设计方案；③深化三维设计方案；④数字化内容制作方案；⑤总体实施方案。 各个部分内容全面、方案清晰详尽、效果图美观、符合本项目采购需求且描述详细得15分；以上分项每缺少一项内容扣3分；有一项不完整或不符合实际要求或不满足实施要求或套用其他项目内容的每项得0.1-2.9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质量保障措施及进度计划安排</w:t>
            </w:r>
          </w:p>
        </w:tc>
        <w:tc>
          <w:tcPr>
            <w:tcW w:type="dxa" w:w="2492"/>
          </w:tcPr>
          <w:p>
            <w:pPr>
              <w:pStyle w:val="null3"/>
            </w:pPr>
            <w:r>
              <w:rPr>
                <w:rFonts w:ascii="仿宋_GB2312" w:hAnsi="仿宋_GB2312" w:cs="仿宋_GB2312" w:eastAsia="仿宋_GB2312"/>
              </w:rPr>
              <w:t>针对本项目提供质量保障措施及进度计划安排，包括但不限于①质量目标管理体系；②施工质量控制措施；③服务质量承诺；④进度计划安排；⑤进度保障措施。 各个部分内容全面、阐述条理清晰详尽、符合本项目采购需求且描述详细得10分；以上分项每缺少一项内容扣2分；有一项不完整或不符合实际要求或不满足实施要求或套用其他项目内容的每项得0.1-1.9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进高校抗战主题巡展实施方案</w:t>
            </w:r>
          </w:p>
        </w:tc>
        <w:tc>
          <w:tcPr>
            <w:tcW w:type="dxa" w:w="2492"/>
          </w:tcPr>
          <w:p>
            <w:pPr>
              <w:pStyle w:val="null3"/>
            </w:pPr>
            <w:r>
              <w:rPr>
                <w:rFonts w:ascii="仿宋_GB2312" w:hAnsi="仿宋_GB2312" w:cs="仿宋_GB2312" w:eastAsia="仿宋_GB2312"/>
              </w:rPr>
              <w:t>针对本项目提供进高校抗战主题巡展实施方案，包括但不限于①巡展展板设计制作方案；②系列宣讲与教育活动执行方案；③线上宣传推广方案。 各个部分内容全面、阐述条理清晰详尽、执行方案可行性高、符合本项目采购需求且描述详细得9分；以上分项每缺少一项内容扣3分；有一项不完整或不符合实际要求或不满足实施要求或套用其他项目内容的每项得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线上思政课实施方案</w:t>
            </w:r>
          </w:p>
        </w:tc>
        <w:tc>
          <w:tcPr>
            <w:tcW w:type="dxa" w:w="2492"/>
          </w:tcPr>
          <w:p>
            <w:pPr>
              <w:pStyle w:val="null3"/>
            </w:pPr>
            <w:r>
              <w:rPr>
                <w:rFonts w:ascii="仿宋_GB2312" w:hAnsi="仿宋_GB2312" w:cs="仿宋_GB2312" w:eastAsia="仿宋_GB2312"/>
              </w:rPr>
              <w:t>针对本项目提供线上思政课实施方案，包括但不限于①教育课程录制制作方案；②线上教育直播方案。 各个部分内容全面、阐述条理清晰详尽、执行方案可行性高、符合本项目采购需求且描述详细得6分；以上分项每缺少一项内容扣3分；有一项不完整或不符合实际要求或不满足实施要求或套用其他项目内容的每项得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西安抗战主题游径设计开发方案</w:t>
            </w:r>
          </w:p>
        </w:tc>
        <w:tc>
          <w:tcPr>
            <w:tcW w:type="dxa" w:w="2492"/>
          </w:tcPr>
          <w:p>
            <w:pPr>
              <w:pStyle w:val="null3"/>
            </w:pPr>
            <w:r>
              <w:rPr>
                <w:rFonts w:ascii="仿宋_GB2312" w:hAnsi="仿宋_GB2312" w:cs="仿宋_GB2312" w:eastAsia="仿宋_GB2312"/>
              </w:rPr>
              <w:t>针对本项目提供西安抗战主题游径设计开发方案，包括但不限于①主题游径设计理念；②主题研学课程研发方案；③研学活动手册设计制作方案；④主题游径课程执行方案。 各个部分内容全面、阐述条理清晰详尽、执行方案可行性高、符合本项目采购需求且描述详细得8分；以上分项每缺少一项内容扣2分；有一项不完整或不符合实际要求或不满足实施要求或套用其他项目内容的每项得0.1-1.9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红色文创设计制作方案</w:t>
            </w:r>
          </w:p>
        </w:tc>
        <w:tc>
          <w:tcPr>
            <w:tcW w:type="dxa" w:w="2492"/>
          </w:tcPr>
          <w:p>
            <w:pPr>
              <w:pStyle w:val="null3"/>
            </w:pPr>
            <w:r>
              <w:rPr>
                <w:rFonts w:ascii="仿宋_GB2312" w:hAnsi="仿宋_GB2312" w:cs="仿宋_GB2312" w:eastAsia="仿宋_GB2312"/>
              </w:rPr>
              <w:t>针对本项目提供红色文创设计制作方案，包括但不限于①红色文创设计理念；②红色文创设计制作方案。 各个部分内容全面、阐述条理清晰详尽、效果图美观、符合本项目采购需求且描述详细得6分；以上分项每缺少一项内容扣3分；有一项不完整或不符合实际要求或不满足实施要求或套用其他项目内容的每项得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基于人工智能的抗战知识库开发方案</w:t>
            </w:r>
          </w:p>
        </w:tc>
        <w:tc>
          <w:tcPr>
            <w:tcW w:type="dxa" w:w="2492"/>
          </w:tcPr>
          <w:p>
            <w:pPr>
              <w:pStyle w:val="null3"/>
            </w:pPr>
            <w:r>
              <w:rPr>
                <w:rFonts w:ascii="仿宋_GB2312" w:hAnsi="仿宋_GB2312" w:cs="仿宋_GB2312" w:eastAsia="仿宋_GB2312"/>
              </w:rPr>
              <w:t>针对本项目提供基于人工智能的抗战知识库开发方案，包括但不限于①知识库前端开发方案；②知识库内容构建方案；③大语言模型训练方案；④运维方案；⑤与高校合作推动革命文物融入高校“大思政课”方案。 各个部分内容全面、阐述条理清晰详尽、符合本项目采购需求且描述详细得15分；以上分项每缺少一项内容扣3分；有一项不完整或不符合实际要求或不满足实施要求或套用其他项目内容的每项得0.1-2.9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针对本项目提供团队人员配备方案，包括但不限于①团队组织架构；②岗位设置及工作分工；③岗位责任制度。 各个部分内容全面、阐述条理清晰详尽、构架合理、分工明确合理且描述详细得6分；以上分项每缺少一项内容扣2分；有一项不完整或不合理或不满足实施需求或套用其他项目内容的每项得0.1-1.9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