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版本号：JXRC-250632-220250724001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视野计采购项目(二次)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JXRC-250632-2</w:t>
      </w:r>
      <w:r>
        <w:br/>
      </w:r>
      <w:r>
        <w:br/>
      </w:r>
      <w:r>
        <w:br/>
      </w:r>
    </w:p>
    <w:p>
      <w:pPr>
        <w:pStyle w:val="null3"/>
        <w:jc w:val="center"/>
        <w:outlineLvl w:val="2"/>
      </w:pPr>
      <w:r>
        <w:rPr>
          <w:rFonts w:ascii="仿宋_GB2312" w:hAnsi="仿宋_GB2312" w:cs="仿宋_GB2312" w:eastAsia="仿宋_GB2312"/>
          <w:sz w:val="28"/>
          <w:b/>
        </w:rPr>
        <w:t>西安市人民医院（西安市第四医院）</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西安市人民医院（西安市第四医院）</w:t>
      </w:r>
      <w:r>
        <w:rPr>
          <w:rFonts w:ascii="仿宋_GB2312" w:hAnsi="仿宋_GB2312" w:cs="仿宋_GB2312" w:eastAsia="仿宋_GB2312"/>
        </w:rPr>
        <w:t>委托，拟对</w:t>
      </w:r>
      <w:r>
        <w:rPr>
          <w:rFonts w:ascii="仿宋_GB2312" w:hAnsi="仿宋_GB2312" w:cs="仿宋_GB2312" w:eastAsia="仿宋_GB2312"/>
        </w:rPr>
        <w:t>视野计采购项目(二次)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JXRC-250632-2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视野计采购项目(二次)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西安市人民医院(西安市第四医院)是一所公立三级甲等综合医院，医院分为大差市和航天城两个院区,总占地面积204.7亩,其中大差市院区31.4亩，航天城院区 173.3 亩。 西安市人民医院（西安市第四医院）青光眼中心是西北地区领先的眼科诊疗中心，拥有强大的医师团队，包括多名主任医师、副主任医师和博士，年门诊量约3万人次，年手术量达3000余例。中心开展各种青光眼的诊断与治疗，包括先天性青光眼、睫状环阻滞性青光眼、晶状体半脱位、新生血管性青光眼及内眼手术继发青光眼等疑难青光眼的治疗近年来，青光眼中心在微创青光眼手术领域取得了多项突破，在省内率先开展了多项微创青光眼手术，如粘小管成形术、360°小梁切开术、PCP手术、XEN植入术等，治疗水平达国内领先。视野计是青光眼检查必备常规诊疗工具，在青光眼疾病的诊断、治疗、随访、观察上都有十分重要的作用。本次采购视野计1套，视野分析仪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财务状况证明：法人提供会计师事务所出具的完整的2024年度审计报告（成立时间至提交投标文件截止时间不足一年的可提供成立后任意时段的资产负债表)，或开标前6个月内（2024年12月1日后）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纳税证明：法人提供自2024年12月1日以来至少一个月的纳税证明或完税证明(任意税种)，纳税证明或完税证明上应有代收机构或税务机关的公章或业务专用章；其他组织和自然人提供自2024年12月1日以来至少一个月缴纳税收的凭据；依法免税的投标人应提供相关文件证明。</w:t>
      </w:r>
    </w:p>
    <w:p>
      <w:pPr>
        <w:pStyle w:val="null3"/>
      </w:pPr>
      <w:r>
        <w:rPr>
          <w:rFonts w:ascii="仿宋_GB2312" w:hAnsi="仿宋_GB2312" w:cs="仿宋_GB2312" w:eastAsia="仿宋_GB2312"/>
        </w:rPr>
        <w:t>5、社保缴纳证明：提供自2024年12月1日以来至少一个月已缴纳的社会保障资金的证明（社会保障资金缴存单据或社保机构开具的社会保险参保缴费情况证明等)；依法不需要缴纳社会保障资金的投标人应提供相关证明文件。</w:t>
      </w:r>
    </w:p>
    <w:p>
      <w:pPr>
        <w:pStyle w:val="null3"/>
      </w:pPr>
      <w:r>
        <w:rPr>
          <w:rFonts w:ascii="仿宋_GB2312" w:hAnsi="仿宋_GB2312" w:cs="仿宋_GB2312" w:eastAsia="仿宋_GB2312"/>
        </w:rPr>
        <w:t>6、无重大违法记录声明：参加本次政府采购活动前三年内，在经营活动中没有重大违法记录，提供《无重大违法记录声明》。</w:t>
      </w:r>
    </w:p>
    <w:p>
      <w:pPr>
        <w:pStyle w:val="null3"/>
      </w:pPr>
      <w:r>
        <w:rPr>
          <w:rFonts w:ascii="仿宋_GB2312" w:hAnsi="仿宋_GB2312" w:cs="仿宋_GB2312" w:eastAsia="仿宋_GB2312"/>
        </w:rPr>
        <w:t>7、履约能力声明：提供《具有履行合同所必需的设备和专业技术能力的承诺书》。</w:t>
      </w:r>
    </w:p>
    <w:p>
      <w:pPr>
        <w:pStyle w:val="null3"/>
      </w:pPr>
      <w:r>
        <w:rPr>
          <w:rFonts w:ascii="仿宋_GB2312" w:hAnsi="仿宋_GB2312" w:cs="仿宋_GB2312" w:eastAsia="仿宋_GB2312"/>
        </w:rPr>
        <w:t>8、医疗器械经营许可证：投标人须提供医疗器械经营许可证或备案证。</w:t>
      </w:r>
    </w:p>
    <w:p>
      <w:pPr>
        <w:pStyle w:val="null3"/>
      </w:pPr>
      <w:r>
        <w:rPr>
          <w:rFonts w:ascii="仿宋_GB2312" w:hAnsi="仿宋_GB2312" w:cs="仿宋_GB2312" w:eastAsia="仿宋_GB2312"/>
        </w:rPr>
        <w:t>9、医疗器械注册证：医疗器械管理范围的产品需提供医疗器械注册证。</w:t>
      </w:r>
    </w:p>
    <w:p>
      <w:pPr>
        <w:pStyle w:val="null3"/>
      </w:pPr>
      <w:r>
        <w:rPr>
          <w:rFonts w:ascii="仿宋_GB2312" w:hAnsi="仿宋_GB2312" w:cs="仿宋_GB2312" w:eastAsia="仿宋_GB2312"/>
        </w:rPr>
        <w:t>10、本采购包允许进口产品投标：进口产品提供完整授权链，且授权范围需包含本次采购项目内容。</w:t>
      </w:r>
    </w:p>
    <w:p>
      <w:pPr>
        <w:pStyle w:val="null3"/>
      </w:pPr>
      <w:r>
        <w:rPr>
          <w:rFonts w:ascii="仿宋_GB2312" w:hAnsi="仿宋_GB2312" w:cs="仿宋_GB2312" w:eastAsia="仿宋_GB2312"/>
        </w:rPr>
        <w:t>11、不允许联合体投标：本项目不允许联合体投标，提供承诺函。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西安市人民医院（西安市第四医院）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西安市长安区航天新城航天东路155号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西安市人民医院（西安市第四医院）经办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029-61220012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代理服务费收费标准：收费标准参照原中华人民共和国国家计划委员会计价格[2002]1980号文下浮20%计算收取，具体收费额以采购代理机构出具的发票为准。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西安市人民医院（西安市第四医院）</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西安市人民医院（西安市第四医院）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西安市人民医院（西安市第四医院）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1、按照合同约定时间，按院方指定地点提供货物，配合验收工作，并负责安装、调试、提供现场技术培训，保证使用人员正常操作设备的各种功能。 2、由供应商负责，运杂费已包含在合同总价内，包括从货物供应地点所含的运输费、装卸费、仓储费、保险费等。 3、定期派技术人员到现场走访，给予检查维护，一年不少于2次。 4、供应商应终身免费提供维护手册、维修手册、软件备份、故障代码表、备件清单、零部件、维修密码等维护维修必须的材料和信息。</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联系人：曲慧、张海</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西安市人民医院(西安市第四医院)是一所公立三级甲等综合医院，医院分为大差市和航天城两个院区,总占地面积204.7亩,其中大差市院区31.4亩，航天城院区 173.3 亩。 西安市人民医院（西安市第四医院）青光眼中心是西北地区领先的眼科诊疗中心，拥有强大的医师团队，包括多名主任医师、副主任医师和博士，年门诊量约3万人次，年手术量达3000余例。中心开展各种青光眼的诊断与治疗，包括先天性青光眼、睫状环阻滞性青光眼、晶状体半脱位、新生血管性青光眼及内眼手术继发青光眼等疑难青光眼的治疗近年来，青光眼中心在微创青光眼手术领域取得了多项突破，在省内率先开展了多项微创青光眼手术，如粘小管成形术、360°小梁切开术、PCP手术、XEN植入术等，治疗水平达国内领先。视野计是青光眼检查必备常规诊疗工具，在青光眼疾病的诊断、治疗、随访、观察上都有十分重要的作用。青光眼中心现有视野计两台分别是2012年与2014年购置，其中一台目前已申请报废，为满足两院区患者就诊要求申请采购视野计1台。 保健办承担多层次、高层次人才诊疗工作，现科室无相关设备，现申请购置视野计1台。</w:t>
      </w:r>
    </w:p>
    <w:tbl>
      <w:tblPr>
        <w:tblW w:w="0" w:type="auto"/>
        <w:tblBorders>
          <w:top w:val="single"/>
          <w:left w:val="single"/>
          <w:bottom w:val="single"/>
          <w:right w:val="single"/>
          <w:insideH w:val="single"/>
          <w:insideV w:val="single"/>
        </w:tblBorders>
      </w:tblPr>
      <w:tblGrid>
        <w:gridCol w:w="1068"/>
        <w:gridCol w:w="2290"/>
        <w:gridCol w:w="815"/>
        <w:gridCol w:w="660"/>
        <w:gridCol w:w="1250"/>
        <w:gridCol w:w="1110"/>
        <w:gridCol w:w="1110"/>
      </w:tblGrid>
      <w:tr>
        <w:tc>
          <w:tcPr>
            <w:tcW w:type="dxa" w:w="1068"/>
            <w:tcBorders>
              <w:top w:val="singl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b/>
              </w:rPr>
              <w:t>品目</w:t>
            </w:r>
          </w:p>
        </w:tc>
        <w:tc>
          <w:tcPr>
            <w:tcW w:type="dxa" w:w="2290"/>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b/>
              </w:rPr>
              <w:t>分项名称</w:t>
            </w:r>
          </w:p>
        </w:tc>
        <w:tc>
          <w:tcPr>
            <w:tcW w:type="dxa" w:w="815"/>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b/>
              </w:rPr>
              <w:t>国产/进口</w:t>
            </w:r>
          </w:p>
        </w:tc>
        <w:tc>
          <w:tcPr>
            <w:tcW w:type="dxa" w:w="660"/>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b/>
              </w:rPr>
              <w:t>采购数量</w:t>
            </w:r>
          </w:p>
        </w:tc>
        <w:tc>
          <w:tcPr>
            <w:tcW w:type="dxa" w:w="1250"/>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b/>
              </w:rPr>
              <w:t>分项预算（万元）</w:t>
            </w:r>
          </w:p>
        </w:tc>
        <w:tc>
          <w:tcPr>
            <w:tcW w:type="dxa" w:w="1110"/>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b/>
              </w:rPr>
              <w:t>分项限价（万元）</w:t>
            </w:r>
          </w:p>
        </w:tc>
        <w:tc>
          <w:tcPr>
            <w:tcW w:type="dxa" w:w="1110"/>
            <w:tcBorders>
              <w:top w:val="singl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b/>
              </w:rPr>
              <w:t>备注</w:t>
            </w:r>
          </w:p>
        </w:tc>
      </w:tr>
      <w:tr>
        <w:tc>
          <w:tcPr>
            <w:tcW w:type="dxa" w:w="106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rPr>
              <w:t>1</w:t>
            </w:r>
          </w:p>
        </w:tc>
        <w:tc>
          <w:tcPr>
            <w:tcW w:type="dxa" w:w="2290"/>
            <w:tcBorders>
              <w:top w:val="none" w:color="000000" w:sz="4"/>
              <w:left w:val="none" w:color="000000" w:sz="4"/>
              <w:bottom w:val="single" w:color="000000" w:sz="4"/>
              <w:right w:val="single" w:color="000000" w:sz="4"/>
            </w:tcBorders>
            <w:shd w:fill="FFFFFF"/>
            <w:tcMar>
              <w:top w:type="dxa" w:w="1"/>
              <w:left w:type="dxa" w:w="1"/>
              <w:bottom w:type="dxa" w:w="1"/>
              <w:right w:type="dxa" w:w="1"/>
            </w:tcMar>
          </w:tcPr>
          <w:p>
            <w:pPr>
              <w:pStyle w:val="null3"/>
              <w:jc w:val="center"/>
            </w:pPr>
            <w:r>
              <w:rPr>
                <w:rFonts w:ascii="仿宋_GB2312" w:hAnsi="仿宋_GB2312" w:cs="仿宋_GB2312" w:eastAsia="仿宋_GB2312"/>
                <w:sz w:val="16"/>
                <w:color w:val="000000"/>
              </w:rPr>
              <w:t>视野计</w:t>
            </w:r>
          </w:p>
        </w:tc>
        <w:tc>
          <w:tcPr>
            <w:tcW w:type="dxa" w:w="815"/>
            <w:vMerge w:val="restart"/>
            <w:tcBorders>
              <w:top w:val="none" w:color="000000" w:sz="4"/>
              <w:left w:val="none" w:color="000000" w:sz="4"/>
              <w:bottom w:val="single" w:color="000000" w:sz="4"/>
              <w:right w:val="single" w:color="000000" w:sz="4"/>
            </w:tcBorders>
            <w:tcMar>
              <w:top w:type="dxa" w:w="1"/>
              <w:left w:type="dxa" w:w="1"/>
              <w:bottom w:type="dxa" w:w="1"/>
              <w:right w:type="dxa" w:w="1"/>
            </w:tcMar>
            <w:vAlign w:val="top"/>
          </w:tcPr>
          <w:p>
            <w:pPr>
              <w:pStyle w:val="null3"/>
              <w:jc w:val="both"/>
            </w:pPr>
            <w:r>
              <w:rPr>
                <w:rFonts w:ascii="仿宋_GB2312" w:hAnsi="仿宋_GB2312" w:cs="仿宋_GB2312" w:eastAsia="仿宋_GB2312"/>
                <w:sz w:val="16"/>
              </w:rPr>
              <w:t>已做过进口论证</w:t>
            </w:r>
          </w:p>
        </w:tc>
        <w:tc>
          <w:tcPr>
            <w:tcW w:type="dxa" w:w="660"/>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rPr>
              <w:t>1套</w:t>
            </w:r>
          </w:p>
        </w:tc>
        <w:tc>
          <w:tcPr>
            <w:tcW w:type="dxa" w:w="1250"/>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rPr>
              <w:t>75</w:t>
            </w:r>
          </w:p>
        </w:tc>
        <w:tc>
          <w:tcPr>
            <w:tcW w:type="dxa" w:w="1110"/>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rPr>
              <w:t>75</w:t>
            </w:r>
          </w:p>
        </w:tc>
        <w:tc>
          <w:tcPr>
            <w:tcW w:type="dxa" w:w="1110"/>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rPr>
              <w:t>核心产品</w:t>
            </w:r>
          </w:p>
        </w:tc>
      </w:tr>
      <w:tr>
        <w:tc>
          <w:tcPr>
            <w:tcW w:type="dxa" w:w="1068"/>
            <w:tcBorders>
              <w:top w:val="none" w:color="000000" w:sz="4"/>
              <w:left w:val="singl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rPr>
              <w:t>2</w:t>
            </w:r>
          </w:p>
        </w:tc>
        <w:tc>
          <w:tcPr>
            <w:tcW w:type="dxa" w:w="2290"/>
            <w:tcBorders>
              <w:top w:val="none" w:color="000000" w:sz="4"/>
              <w:left w:val="none" w:color="000000" w:sz="4"/>
              <w:bottom w:val="single" w:color="000000" w:sz="4"/>
              <w:right w:val="single" w:color="000000" w:sz="4"/>
            </w:tcBorders>
            <w:shd w:fill="FFFFFF"/>
            <w:tcMar>
              <w:top w:type="dxa" w:w="1"/>
              <w:left w:type="dxa" w:w="1"/>
              <w:bottom w:type="dxa" w:w="1"/>
              <w:right w:type="dxa" w:w="1"/>
            </w:tcMar>
          </w:tcPr>
          <w:p>
            <w:pPr>
              <w:pStyle w:val="null3"/>
              <w:jc w:val="center"/>
            </w:pPr>
            <w:r>
              <w:rPr>
                <w:rFonts w:ascii="仿宋_GB2312" w:hAnsi="仿宋_GB2312" w:cs="仿宋_GB2312" w:eastAsia="仿宋_GB2312"/>
                <w:sz w:val="16"/>
                <w:color w:val="000000"/>
              </w:rPr>
              <w:t>视野分析仪</w:t>
            </w:r>
          </w:p>
        </w:tc>
        <w:tc>
          <w:tcPr>
            <w:tcW w:type="dxa" w:w="815"/>
            <w:vMerge/>
            <w:tcBorders>
              <w:top w:val="none" w:color="000000" w:sz="4"/>
              <w:left w:val="none" w:color="000000" w:sz="4"/>
              <w:bottom w:val="single" w:color="000000" w:sz="4"/>
              <w:right w:val="single" w:color="000000" w:sz="4"/>
            </w:tcBorders>
          </w:tcPr>
          <w:p/>
        </w:tc>
        <w:tc>
          <w:tcPr>
            <w:tcW w:type="dxa" w:w="660"/>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rPr>
              <w:t>1套</w:t>
            </w:r>
          </w:p>
        </w:tc>
        <w:tc>
          <w:tcPr>
            <w:tcW w:type="dxa" w:w="1250"/>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rPr>
              <w:t>75</w:t>
            </w:r>
          </w:p>
        </w:tc>
        <w:tc>
          <w:tcPr>
            <w:tcW w:type="dxa" w:w="1110"/>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rPr>
              <w:t>75</w:t>
            </w:r>
          </w:p>
        </w:tc>
        <w:tc>
          <w:tcPr>
            <w:tcW w:type="dxa" w:w="1110"/>
            <w:tcBorders>
              <w:top w:val="none" w:color="000000" w:sz="4"/>
              <w:left w:val="none" w:color="000000" w:sz="4"/>
              <w:bottom w:val="single" w:color="000000" w:sz="4"/>
              <w:right w:val="single" w:color="000000" w:sz="4"/>
            </w:tcBorders>
            <w:tcMar>
              <w:top w:type="dxa" w:w="1"/>
              <w:left w:type="dxa" w:w="1"/>
              <w:bottom w:type="dxa" w:w="1"/>
              <w:right w:type="dxa" w:w="1"/>
            </w:tcMar>
          </w:tcPr>
          <w:p>
            <w:pPr>
              <w:pStyle w:val="null3"/>
              <w:jc w:val="center"/>
            </w:pPr>
            <w:r>
              <w:rPr>
                <w:rFonts w:ascii="仿宋_GB2312" w:hAnsi="仿宋_GB2312" w:cs="仿宋_GB2312" w:eastAsia="仿宋_GB2312"/>
                <w:sz w:val="16"/>
              </w:rPr>
              <w:t>核心产品</w:t>
            </w:r>
          </w:p>
        </w:tc>
      </w:tr>
    </w:tbl>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视野计采购项目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标的名称：视野计采购项目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一、品目1视野计及品目2视野分析仪：（进口）</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品目名称后标注“进口”指该品目接受进口产品。</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（一）技术参数：</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1、用于视野功能常规检查与随访。</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2、光源：LED或者卤素灯。</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3、全自动计算机控制。</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4、具有阈值检测和筛选检查的功能。</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5、具有标准检查及快速检查等检测程序。</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6、最短检测时间≤2分钟。</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7、具有青光眼检测程序、青光眼半视野分析程序、青光眼指导进展分析程序（提供相关证明材料）。</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8、具有青光眼正常值数据库（含多人种、多中心），检测结果可与检测年龄正常范围数值进行比对。</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rPr>
              <w:t>9、背景光亮度≥30asb。</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rPr>
              <w:t>10、操作方式：触摸操作。</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rPr>
              <w:t>11、具有中英文显示功能。</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rPr>
              <w:t>12、刺激光颜色≥3种（含白色、红色、蓝色等）。</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13、刺激光标：符合Goldmann标准（Ⅰ、Ⅱ、Ⅲ、Ⅳ、Ⅴ）。</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pPr>
            <w:r>
              <w:rPr>
                <w:rFonts w:ascii="仿宋_GB2312" w:hAnsi="仿宋_GB2312" w:cs="仿宋_GB2312" w:eastAsia="仿宋_GB2312"/>
              </w:rPr>
              <w:t>14、光标投射式呈现，大小可调。</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pPr>
            <w:r>
              <w:rPr>
                <w:rFonts w:ascii="仿宋_GB2312" w:hAnsi="仿宋_GB2312" w:cs="仿宋_GB2312" w:eastAsia="仿宋_GB2312"/>
              </w:rPr>
              <w:t>15、视野检查距离：30cm。</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pPr>
            <w:r>
              <w:rPr>
                <w:rFonts w:ascii="仿宋_GB2312" w:hAnsi="仿宋_GB2312" w:cs="仿宋_GB2312" w:eastAsia="仿宋_GB2312"/>
              </w:rPr>
              <w:t>16、最大光亮度≥10000 ASB。</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pPr>
            <w:r>
              <w:rPr>
                <w:rFonts w:ascii="仿宋_GB2312" w:hAnsi="仿宋_GB2312" w:cs="仿宋_GB2312" w:eastAsia="仿宋_GB2312"/>
              </w:rPr>
              <w:t>17、光刺激时间≤200ms。</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18、最大颞侧检测范围90°。</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pPr>
            <w:r>
              <w:rPr>
                <w:rFonts w:ascii="仿宋_GB2312" w:hAnsi="仿宋_GB2312" w:cs="仿宋_GB2312" w:eastAsia="仿宋_GB2312"/>
              </w:rPr>
              <w:t>19、静态阈值：</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pPr>
            <w:r>
              <w:rPr>
                <w:rFonts w:ascii="仿宋_GB2312" w:hAnsi="仿宋_GB2312" w:cs="仿宋_GB2312" w:eastAsia="仿宋_GB2312"/>
              </w:rPr>
              <w:t>19.1阈值测试程序：≥6种(含24-2、30-2、10-2、60-4、Macula、Nasal step等)。</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pPr>
            <w:r>
              <w:rPr>
                <w:rFonts w:ascii="仿宋_GB2312" w:hAnsi="仿宋_GB2312" w:cs="仿宋_GB2312" w:eastAsia="仿宋_GB2312"/>
              </w:rPr>
              <w:t>19.2阈上值测试程序：≥6种(含C40、C76、C80、C64、C-Armaly、Peripheral test patterns等)。</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pPr>
            <w:r>
              <w:rPr>
                <w:rFonts w:ascii="仿宋_GB2312" w:hAnsi="仿宋_GB2312" w:cs="仿宋_GB2312" w:eastAsia="仿宋_GB2312"/>
              </w:rPr>
              <w:t>19.3特殊测试程序：≥10种(含Social Security Disability,monocular,binocular,Estermanmonocular,binocular,superior 36,superior 64,Kinetic testing,Custom Kinetic testing,CustomStatic testing等) 。</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pPr>
            <w:r>
              <w:rPr>
                <w:rFonts w:ascii="仿宋_GB2312" w:hAnsi="仿宋_GB2312" w:cs="仿宋_GB2312" w:eastAsia="仿宋_GB2312"/>
              </w:rPr>
              <w:t>20、动态阈值：</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pPr>
            <w:r>
              <w:rPr>
                <w:rFonts w:ascii="仿宋_GB2312" w:hAnsi="仿宋_GB2312" w:cs="仿宋_GB2312" w:eastAsia="仿宋_GB2312"/>
              </w:rPr>
              <w:t>20.1适合驾驶员150度水平视野范围检查。</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pPr>
            <w:r>
              <w:rPr>
                <w:rFonts w:ascii="仿宋_GB2312" w:hAnsi="仿宋_GB2312" w:cs="仿宋_GB2312" w:eastAsia="仿宋_GB2312"/>
              </w:rPr>
              <w:t>20.2具有自定义动态程序。</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pPr>
            <w:r>
              <w:rPr>
                <w:rFonts w:ascii="仿宋_GB2312" w:hAnsi="仿宋_GB2312" w:cs="仿宋_GB2312" w:eastAsia="仿宋_GB2312"/>
              </w:rPr>
              <w:t>21、具有可测量中心凹阈值的功能。</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pPr>
            <w:r>
              <w:rPr>
                <w:rFonts w:ascii="仿宋_GB2312" w:hAnsi="仿宋_GB2312" w:cs="仿宋_GB2312" w:eastAsia="仿宋_GB2312"/>
              </w:rPr>
              <w:t>22、一体化内置电脑。</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pPr>
            <w:r>
              <w:rPr>
                <w:rFonts w:ascii="仿宋_GB2312" w:hAnsi="仿宋_GB2312" w:cs="仿宋_GB2312" w:eastAsia="仿宋_GB2312"/>
              </w:rPr>
              <w:t>23、固视目标中心点大小可调。</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24、测量精度：≤2db或≤2°。</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pPr>
            <w:r>
              <w:rPr>
                <w:rFonts w:ascii="仿宋_GB2312" w:hAnsi="仿宋_GB2312" w:cs="仿宋_GB2312" w:eastAsia="仿宋_GB2312"/>
              </w:rPr>
              <w:t>25、具有自动瞳孔直径测量的功能。</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pPr>
            <w:r>
              <w:rPr>
                <w:rFonts w:ascii="仿宋_GB2312" w:hAnsi="仿宋_GB2312" w:cs="仿宋_GB2312" w:eastAsia="仿宋_GB2312"/>
              </w:rPr>
              <w:t>26、具有固视跟踪、头位跟踪、顶点监测、实时眼位查看的功能。</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pPr>
            <w:r>
              <w:rPr>
                <w:rFonts w:ascii="仿宋_GB2312" w:hAnsi="仿宋_GB2312" w:cs="仿宋_GB2312" w:eastAsia="仿宋_GB2312"/>
              </w:rPr>
              <w:t>27、具有出具组合报告的功能。</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pPr>
            <w:r>
              <w:rPr>
                <w:rFonts w:ascii="仿宋_GB2312" w:hAnsi="仿宋_GB2312" w:cs="仿宋_GB2312" w:eastAsia="仿宋_GB2312"/>
              </w:rPr>
              <w:t>（二）单台配置要求:</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pPr>
            <w:r>
              <w:rPr>
                <w:rFonts w:ascii="仿宋_GB2312" w:hAnsi="仿宋_GB2312" w:cs="仿宋_GB2312" w:eastAsia="仿宋_GB2312"/>
              </w:rPr>
              <w:t>视野计（含主机、键盘、鼠标、打印机、升降台）1套</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pPr>
            <w:r>
              <w:rPr>
                <w:rFonts w:ascii="仿宋_GB2312" w:hAnsi="仿宋_GB2312" w:cs="仿宋_GB2312" w:eastAsia="仿宋_GB2312"/>
              </w:rPr>
              <w:t>二、接口及数据要求（品目1视野计及品目2视野分析仪）</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pPr>
            <w:r>
              <w:rPr>
                <w:rFonts w:ascii="仿宋_GB2312" w:hAnsi="仿宋_GB2312" w:cs="仿宋_GB2312" w:eastAsia="仿宋_GB2312"/>
              </w:rPr>
              <w:t>1. 免费系统升级，无条件与我院现有HIS、LIS、PACS等信息系统对接，并承担所接系统软件工作站、接口、点位、配件及由此产生的所有费用（包含但不限于采集盒、手控、脚踏板、转接配件、无线网卡、高清采集卡及各种连线等），涉及图像传输的须无条件开放相关端口（不限于DICOM端口）。</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pPr>
            <w:r>
              <w:rPr>
                <w:rFonts w:ascii="仿宋_GB2312" w:hAnsi="仿宋_GB2312" w:cs="仿宋_GB2312" w:eastAsia="仿宋_GB2312"/>
              </w:rPr>
              <w:t>2.设备具有时间同步功能机制。</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pPr>
            <w:r>
              <w:rPr>
                <w:rFonts w:ascii="仿宋_GB2312" w:hAnsi="仿宋_GB2312" w:cs="仿宋_GB2312" w:eastAsia="仿宋_GB2312"/>
              </w:rPr>
              <w:t>3.工作站为windows10及以上系列中文操作系统，保证工作站在连接设备后仍有可用网口。</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pPr>
            <w:r>
              <w:rPr>
                <w:rFonts w:ascii="仿宋_GB2312" w:hAnsi="仿宋_GB2312" w:cs="仿宋_GB2312" w:eastAsia="仿宋_GB2312"/>
              </w:rPr>
              <w:t>4.设备具有串口、USB、网口、DICOM端口之一的通讯端口。如通信接口特殊，不在上述范围内，需提供转换为上4类接口的相应转换头。</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pPr>
            <w:r>
              <w:rPr>
                <w:rFonts w:ascii="仿宋_GB2312" w:hAnsi="仿宋_GB2312" w:cs="仿宋_GB2312" w:eastAsia="仿宋_GB2312"/>
              </w:rPr>
              <w:t>5.所采设备应根据各设备输出口，确定相关数据信息，如：手柄和脚踏板需 USB口。</w:t>
            </w:r>
          </w:p>
        </w:tc>
      </w:tr>
      <w:tr>
        <w:tc>
          <w:tcPr>
            <w:tcW w:type="dxa" w:w="2769"/>
          </w:tcPr>
          <w:p>
            <w:pPr>
              <w:pStyle w:val="null3"/>
            </w:pPr>
            <w:r>
              <w:rPr>
                <w:rFonts w:ascii="仿宋_GB2312" w:hAnsi="仿宋_GB2312" w:cs="仿宋_GB2312" w:eastAsia="仿宋_GB2312"/>
              </w:rPr>
              <w:t>44</w:t>
            </w:r>
          </w:p>
        </w:tc>
        <w:tc>
          <w:tcPr>
            <w:tcW w:type="dxa" w:w="2769"/>
          </w:tcPr>
          <w:p/>
        </w:tc>
        <w:tc>
          <w:tcPr>
            <w:tcW w:type="dxa" w:w="2769"/>
          </w:tcPr>
          <w:p>
            <w:pPr>
              <w:pStyle w:val="null3"/>
            </w:pPr>
            <w:r>
              <w:rPr>
                <w:rFonts w:ascii="仿宋_GB2312" w:hAnsi="仿宋_GB2312" w:cs="仿宋_GB2312" w:eastAsia="仿宋_GB2312"/>
              </w:rPr>
              <w:t>三、服务要求</w:t>
            </w:r>
          </w:p>
        </w:tc>
      </w:tr>
      <w:tr>
        <w:tc>
          <w:tcPr>
            <w:tcW w:type="dxa" w:w="2769"/>
          </w:tcPr>
          <w:p>
            <w:pPr>
              <w:pStyle w:val="null3"/>
            </w:pPr>
            <w:r>
              <w:rPr>
                <w:rFonts w:ascii="仿宋_GB2312" w:hAnsi="仿宋_GB2312" w:cs="仿宋_GB2312" w:eastAsia="仿宋_GB2312"/>
              </w:rPr>
              <w:t>45</w:t>
            </w:r>
          </w:p>
        </w:tc>
        <w:tc>
          <w:tcPr>
            <w:tcW w:type="dxa" w:w="2769"/>
          </w:tcPr>
          <w:p/>
        </w:tc>
        <w:tc>
          <w:tcPr>
            <w:tcW w:type="dxa" w:w="2769"/>
          </w:tcPr>
          <w:p>
            <w:pPr>
              <w:pStyle w:val="null3"/>
            </w:pPr>
            <w:r>
              <w:rPr>
                <w:rFonts w:ascii="仿宋_GB2312" w:hAnsi="仿宋_GB2312" w:cs="仿宋_GB2312" w:eastAsia="仿宋_GB2312"/>
              </w:rPr>
              <w:t>中标商应按照设备安装场地现场情况，完成场地准备，达到设备正常安装使用要求，提供满足需求并符合国家对消毒、控感、卫生的要求，其中所产生的所有人工、材料、运输、安装施工、配套设备、设备性能检测等费用均由中标方承担。</w:t>
            </w:r>
          </w:p>
        </w:tc>
      </w:tr>
      <w:tr>
        <w:tc>
          <w:tcPr>
            <w:tcW w:type="dxa" w:w="2769"/>
          </w:tcPr>
          <w:p>
            <w:pPr>
              <w:pStyle w:val="null3"/>
            </w:pPr>
            <w:r>
              <w:rPr>
                <w:rFonts w:ascii="仿宋_GB2312" w:hAnsi="仿宋_GB2312" w:cs="仿宋_GB2312" w:eastAsia="仿宋_GB2312"/>
              </w:rPr>
              <w:t>46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整机免费保修期为伍年（从验收合格之日起开始计算）,根据《医疗器械监督管理条例》要求，免费保修期截止至设备报废，免费提供设备维护、软件升级的技术支持和指导，配合医院完成设备维修、保养相关工作。免费保修期内，同一主要部件出现质量问题经过两次维修后仍无法正常使用，可以更换同型号、同规格的全新产品，服务响应时间不超过2小时，对问题较大短期内暂不能解决的，为不影响甲方正常工作，乙方在2日内免费提供替代产品，确保正常运行，由此产生的费用由乙方承担。</w:t>
            </w:r>
          </w:p>
        </w:tc>
      </w:tr>
      <w:tr>
        <w:tc>
          <w:tcPr>
            <w:tcW w:type="dxa" w:w="2769"/>
          </w:tcPr>
          <w:p>
            <w:pPr>
              <w:pStyle w:val="null3"/>
            </w:pPr>
            <w:r>
              <w:rPr>
                <w:rFonts w:ascii="仿宋_GB2312" w:hAnsi="仿宋_GB2312" w:cs="仿宋_GB2312" w:eastAsia="仿宋_GB2312"/>
              </w:rPr>
              <w:t>47</w:t>
            </w:r>
          </w:p>
        </w:tc>
        <w:tc>
          <w:tcPr>
            <w:tcW w:type="dxa" w:w="2769"/>
          </w:tcPr>
          <w:p/>
        </w:tc>
        <w:tc>
          <w:tcPr>
            <w:tcW w:type="dxa" w:w="2769"/>
          </w:tcPr>
          <w:p>
            <w:pPr>
              <w:pStyle w:val="null3"/>
            </w:pPr>
            <w:r>
              <w:rPr>
                <w:rFonts w:ascii="仿宋_GB2312" w:hAnsi="仿宋_GB2312" w:cs="仿宋_GB2312" w:eastAsia="仿宋_GB2312"/>
              </w:rPr>
              <w:t>操作人员的技术培训时间不得少于一周，提供培训计划。</w:t>
            </w:r>
          </w:p>
        </w:tc>
      </w:tr>
      <w:tr>
        <w:tc>
          <w:tcPr>
            <w:tcW w:type="dxa" w:w="2769"/>
          </w:tcPr>
          <w:p>
            <w:pPr>
              <w:pStyle w:val="null3"/>
            </w:pPr>
            <w:r>
              <w:rPr>
                <w:rFonts w:ascii="仿宋_GB2312" w:hAnsi="仿宋_GB2312" w:cs="仿宋_GB2312" w:eastAsia="仿宋_GB2312"/>
              </w:rPr>
              <w:t>48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提供生产厂家出具的≥5年的质保声明或质保承诺书。</w:t>
            </w:r>
          </w:p>
        </w:tc>
      </w:tr>
      <w:tr>
        <w:tc>
          <w:tcPr>
            <w:tcW w:type="dxa" w:w="2769"/>
          </w:tcPr>
          <w:p>
            <w:pPr>
              <w:pStyle w:val="null3"/>
            </w:pPr>
            <w:r>
              <w:rPr>
                <w:rFonts w:ascii="仿宋_GB2312" w:hAnsi="仿宋_GB2312" w:cs="仿宋_GB2312" w:eastAsia="仿宋_GB2312"/>
              </w:rPr>
              <w:t>49</w:t>
            </w:r>
          </w:p>
        </w:tc>
        <w:tc>
          <w:tcPr>
            <w:tcW w:type="dxa" w:w="2769"/>
          </w:tcPr>
          <w:p/>
        </w:tc>
        <w:tc>
          <w:tcPr>
            <w:tcW w:type="dxa" w:w="2769"/>
          </w:tcPr>
          <w:p>
            <w:pPr>
              <w:pStyle w:val="null3"/>
            </w:pPr>
            <w:r>
              <w:rPr>
                <w:rFonts w:ascii="仿宋_GB2312" w:hAnsi="仿宋_GB2312" w:cs="仿宋_GB2312" w:eastAsia="仿宋_GB2312"/>
              </w:rPr>
              <w:t>提供陕西近五年内用户名单和相关联系方式。</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合同签订后自甲方通知90日内完成全部项目内容，并交付采购人验收合格。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无预付款，所有货物到达甲方指定地点，安装、调试完毕、提供国家或行业标准的合格验收证明以及出具所有设备生产厂家提供的五年质量保证书等，乙方完成自检合格后，提交甲方进行第一次验收，甲方自第一次验收合格且收到发票之日，达到付款条件起10日内，支付验收合格产品对应金额总价95%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货物第一次验收合格满60个月后，进行二次验收，验收合格后达到付款条件起10日内，支付合同总金额的5%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国家有关规定以及院方招标文件的质量要求和技术指标、供应商的投标文件及承诺与本合同约定标准进行验收；双方如对质量要求和技术指标的约定标准有相互抵触或异议的事项，由院方在招标与投标文件中按质量要求和技术指标比较优胜的原则确定该项的约定标准进行验收； 2、验收时如发现所交付的货物有缺项、次品、损坏或其它不符合标准及本合同约定之情形者，院方应做出详尽的现场记录，记录形式包括摄像、拍照、供应商证明人的说明，并由双方签署备忘录，此现场记录或备忘录可用作补充缺失和更换损坏部件和更换符合要求的整机之有效证据，由此产生的时间延误与相关费用由供应商承担，验收期限相应顺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详见具体技术（参数）要求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未按合同要求提供货物或质量不能满足本合同、招标文件、投标文件等相关文件要求的，乙方须在合同约定的交货期内无条件更换合格的货物交付给甲方，若甲方有实际损失的乙方还应赔偿甲方的实际损失。否则，甲方有权解除合同，合同自书面解除通知到达乙方之日起解除，乙方向甲方支付违约金，违约金计算方法：以合同总价为基数，支付甲方合同最高限价的30%违约金；若违约金不足以弥补甲方所受损失，则甲方可以要求乙方赔偿解除合同的全部损失（包括但不限于律师费、重新采购产生的费用、合同未履行导致设备不能按规划交付使用可能产生的租赁费用及其它由此造成的甲方对第三方的违约损失）。同时甲方有权对乙方的违约行为报监管机构进行相应的处罚。 2、乙方逾期交付货物的，除应及时交足货物外，同时向甲方支付逾期交货部分货款总额的百分之一/天的违约金；逾期交货超过10天，甲方有权解除合同，合同自书面解除通知到达乙方之日起解除，乙方则应按合同最高限价的30%向甲方支付违约金，若违约金不足以弥补甲方损失，则甲方可要求乙方赔偿解除合同的全部损失（包括但不限于律师费、重新采购产生的费用、合同未履行导致设备不能按规划交付使用可能产生的租赁费用及其他由此造成的甲方对第三方的违约损失），同时甲方有权将乙方违约事宜上报至财政监督管理部门备案。</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1、合同其他条款： 乙方义务：按照合同约定时间，按甲方指定地点提供货物并确保货物质量，配合验收工作，并负责安装、调试、提供现场技术培训，保证使用人员正常操作设备的各种功能，提供双向免费接口服务；乙方确保通过合法招投标程序，在公平公正的基础上中标本次项目，本项目在若经监管部门定性为串通投标等违法情形的，乙方应承担由此产生的一切责任（包括但不限于刑事责任、行政责任、民事赔偿责任等），由此给甲方造成损失的，乙方应当赔偿甲方全部损失。 乙方保证货物后期可与甲方各类信息化网络系统双向接口免费对接，即供应商应负责与甲方及甲方信息化网络系统供应商的接口均完成对接，过程中所产生的费用由乙方承担。 2、履约验收时间： 供应商提出验收申请之日起七日内组织验收。 3、技术履约验收内容： ①、定期派技术人员到现场走访，给予检查维护，一年不少于2次。 ②、供应商应终身免费提供维护手册、维修手册、软件备份、故障代码表、备件清单、零部件、维修密码等维护维修必须的材料和信息。 4、商务履约验收内容： ①、按照合同约定时间，按院方指定地点提供货物，配合验收工作，并负责安装、调试、提供现场技术培训，保证使用人员正常操作设备的各种功能。 ②、由供应商负责，运杂费已包含在合同总价内，包括从货物供应地点所含的运输费、装卸费、仓储费、保险费等。 5、履约验收标准： 招标文件、投标文件、合同以及国家强制性标准。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2024年12月1日后）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2024年12月1日后）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2024年12月1日以来至少一个月的纳税证明或完税证明(任意税种)，纳税证明或完税证明上应有代收机构或税务机关的公章或业务专用章；其他组织和自然人提供自2024年12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提供自2024年12月1日以来至少一个月已缴纳的社会保障资金的证明（社会保障资金缴存单据或社保机构开具的社会保险参保缴费情况证明等)；依法不需要缴纳社会保障资金的投标人应提供相关证明文件。</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医疗器械经营许可证</w:t>
            </w:r>
          </w:p>
        </w:tc>
        <w:tc>
          <w:tcPr>
            <w:tcW w:type="dxa" w:w="3322"/>
          </w:tcPr>
          <w:p>
            <w:pPr>
              <w:pStyle w:val="null3"/>
            </w:pPr>
            <w:r>
              <w:rPr>
                <w:rFonts w:ascii="仿宋_GB2312" w:hAnsi="仿宋_GB2312" w:cs="仿宋_GB2312" w:eastAsia="仿宋_GB2312"/>
              </w:rPr>
              <w:t>投标人须提供医疗器械经营许可证或备案证。</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医疗器械注册证</w:t>
            </w:r>
          </w:p>
        </w:tc>
        <w:tc>
          <w:tcPr>
            <w:tcW w:type="dxa" w:w="3322"/>
          </w:tcPr>
          <w:p>
            <w:pPr>
              <w:pStyle w:val="null3"/>
            </w:pPr>
            <w:r>
              <w:rPr>
                <w:rFonts w:ascii="仿宋_GB2312" w:hAnsi="仿宋_GB2312" w:cs="仿宋_GB2312" w:eastAsia="仿宋_GB2312"/>
              </w:rPr>
              <w:t>医疗器械管理范围的产品需提供医疗器械注册证。</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本采购包允许进口产品投标</w:t>
            </w:r>
          </w:p>
        </w:tc>
        <w:tc>
          <w:tcPr>
            <w:tcW w:type="dxa" w:w="3322"/>
          </w:tcPr>
          <w:p>
            <w:pPr>
              <w:pStyle w:val="null3"/>
            </w:pPr>
            <w:r>
              <w:rPr>
                <w:rFonts w:ascii="仿宋_GB2312" w:hAnsi="仿宋_GB2312" w:cs="仿宋_GB2312" w:eastAsia="仿宋_GB2312"/>
              </w:rPr>
              <w:t>进口产品提供完整授权链，且授权范围需包含本次采购项目内容。</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不允许联合体投标</w:t>
            </w:r>
          </w:p>
        </w:tc>
        <w:tc>
          <w:tcPr>
            <w:tcW w:type="dxa" w:w="3322"/>
          </w:tcPr>
          <w:p>
            <w:pPr>
              <w:pStyle w:val="null3"/>
            </w:pPr>
            <w:r>
              <w:rPr>
                <w:rFonts w:ascii="仿宋_GB2312" w:hAnsi="仿宋_GB2312" w:cs="仿宋_GB2312" w:eastAsia="仿宋_GB2312"/>
              </w:rPr>
              <w:t>本项目不允许联合体投标，提供承诺函。</w:t>
            </w:r>
          </w:p>
        </w:tc>
        <w:tc>
          <w:tcPr>
            <w:tcW w:type="dxa" w:w="1661"/>
          </w:tcPr>
          <w:p>
            <w:pPr>
              <w:pStyle w:val="null3"/>
            </w:pPr>
            <w:r>
              <w:rPr>
                <w:rFonts w:ascii="仿宋_GB2312" w:hAnsi="仿宋_GB2312" w:cs="仿宋_GB2312" w:eastAsia="仿宋_GB2312"/>
              </w:rPr>
              <w:t>投标人资格</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商务响应偏离表 开标一览表 投标方案 分项报价表 技术响应偏离表 中小企业声明函 业绩 投标人承诺书 投标人企业关联关系声明函 投标函 投标人资格 其他材料 残疾人福利性单位声明函 标的清单 投标文件封面 合同响应偏离表 投标人基本信息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第一次磋商报价不得超过采购预算或最高限价。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投标人必须满足招标文件的实质性要求。</w:t>
            </w:r>
          </w:p>
        </w:tc>
        <w:tc>
          <w:tcPr>
            <w:tcW w:type="dxa" w:w="1661"/>
          </w:tcPr>
          <w:p>
            <w:pPr>
              <w:pStyle w:val="null3"/>
            </w:pPr>
            <w:r>
              <w:rPr>
                <w:rFonts w:ascii="仿宋_GB2312" w:hAnsi="仿宋_GB2312" w:cs="仿宋_GB2312" w:eastAsia="仿宋_GB2312"/>
              </w:rPr>
              <w:t>商务响应偏离表 技术响应偏离表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投标人响应承诺书要求</w:t>
            </w:r>
          </w:p>
        </w:tc>
        <w:tc>
          <w:tcPr>
            <w:tcW w:type="dxa" w:w="1661"/>
          </w:tcPr>
          <w:p>
            <w:pPr>
              <w:pStyle w:val="null3"/>
            </w:pPr>
            <w:r>
              <w:rPr>
                <w:rFonts w:ascii="仿宋_GB2312" w:hAnsi="仿宋_GB2312" w:cs="仿宋_GB2312" w:eastAsia="仿宋_GB2312"/>
              </w:rPr>
              <w:t>投标人承诺书</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投标产品的技术指标满足或高于招标文件要求的，得满分27分。“★”号技术指标（共4项）有一项不满足即视为无效响应，非“★”号技术指标（共36项），每不满足一项扣0.75分，扣完为止。 注：对带“★”的技术参数必须在投标文件中提供技术支持资料（包括但不限于彩色样本或说明书或技术白皮书或图纸或权威机构出具的检验报告等），并在技术响应偏离表中标注对应页码及位置，未提供或所提供材料无法有效证明的将视为不满足本参数要求。 对非“★”的技术参数投标人在投标文件中应尽可能多地提供技术支持资料予以证明其技术指标响应性（包括但不限于彩色样本或产品说明书或技术白皮书或检验报告等），并在技术响应偏离表中标注对应页码及位置。</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设备选型方案</w:t>
            </w:r>
          </w:p>
        </w:tc>
        <w:tc>
          <w:tcPr>
            <w:tcW w:type="dxa" w:w="2492"/>
          </w:tcPr>
          <w:p>
            <w:pPr>
              <w:pStyle w:val="null3"/>
            </w:pPr>
            <w:r>
              <w:rPr>
                <w:rFonts w:ascii="仿宋_GB2312" w:hAnsi="仿宋_GB2312" w:cs="仿宋_GB2312" w:eastAsia="仿宋_GB2312"/>
              </w:rPr>
              <w:t>设备选型方案： 供应商针对本项目提供具体可行的设备选型方案，包括但不限于：①所投产品型号、功能、技术规格等详细信息描述；②根据所投产品品牌与配置清单，设备配置先进、选型科学合理，从配置完整性、性能稳定性、兼容性、行业使用广泛性等方面描述（供应商须提供证明材料，包括但不限于所投设备产品临床使用优势、市场销售情况等）；③确保设备供应渠道正常、检验手续合法有效、无产权纠纷（供应商须提供证明材料，包括但不限于授权函、销售协议、代理协议等）。 设备选型方案思路清晰、科学合理、可行性强、完全满足采购人需求得9分；设备选型方案思路清晰、科学合理、可行性较强、满足采购人需求得7分；设备选型方案合理完善、可行性较强、基本满足采购人需求得5分；设备选型方案有缺漏项、可行性一般得3分；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提供完整的项目实施方案。内容包含：①保供方案（须细化到接到采购人通知后具体到每日的供货计划表）；②团队人员配置计划及车辆配送安排计划；③具有健全的产品安装、检测、调试、试运行及验收方案。 二、评审标准 1、完整性：方案须全面，对评审内容中的各项要求有详细描述； 2、可实施性：切合本项目实际情况，实施步骤清晰、合理； 3、针对性：方案能够紧扣本项目所采购设备种类等实际情况，内容科学合理。 三、赋分依据（满分9分） 上述3项评审内容全部满足评审标准得9分；每有一个评审内容缺项扣3分，扣完为止；每有一项评审内容存在缺陷，扣（0-3）分。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一、评审内容 投标人针对本项目提供质量保证承诺方案。内容包含：①符合国家相关质量标准、通过国家法定检验注册，产品性能稳定；②在产品使用、技术保障方面的承诺和保证措施。 二、评审标准 1、完整性：方案须全面，对评审内容中的各项要求有详细描述； 2、针对性：方案能够紧扣本项目实际情况，内容科学合理。 三、赋分依据（满分6分） 上述2项评审内容全部满足评审标准得6分；每有一个评审内容缺项扣3分，扣完为止；每有一项评审内容存在缺陷，扣（0-3）分。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供应商针对本项目提供完整的项目应急预案。内容包含：①设备故障及维修服务到场响应时限；②其他应急突发状况处置措施（包括但不限于安装、实施、培训、维护维修等环节的紧急处理方案）。 二、评审标准 1、完整性：方案须全面，对评审内容中的各项要求有详细描述； 2、可实施性：切合本项目实际情况，实施步骤清晰、合理； 3、针对性：方案能够紧扣本项目所采购设备种类等实际情况，内容科学合理。 三、赋分依据（满分4分） 上述2项评审内容全部满足评审标准得4分；每有一个评审内容缺项扣2分，扣完为止；每有一项评审内容存在缺陷，扣（0-2）分。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供应商针对本项目提供完整的售后服务方案。内容包含：①售后服务保障体系,包括但不限于人员配备、备品备件供应计划、设备（产品）发生故障后的补救措施等方面；②提供售后服务承诺且符合实际需求。 二、评审标准 1、完整性：方案须全面，对评审内容中的各项要求有详细描述； 2、可实施性：切合本项目实际情况，实施步骤清晰、合理； 3、针对性：方案能够紧扣项目实际情况，内容科学合理。 三、赋分依据（满分6分） 上述2项评审内容全部满足评审标准得6分；每有一个评审内容缺项扣3分，扣完为止；每有一项评审内容存在缺陷，扣（0-3）分。 说明：1、缺陷是指内容没有结合项目实际需求、虽有内容但不完善、内容表述前后不一致、套用其他项目方案或与项目需求不匹配及其他不利于项目实施的等任意一种情形。 2、提供相关的佐证材料，如售后服务机构工作场所的证明材料（包括但不限于：租房协议或产权证明材料，办公场所图片，售后服务机构专职人员名单及相关行业从业资历，本行业内的技术证书及相关证明材料等资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供应商针对本项目提供完整的培训方案。内容包含：①免费为使用单位培训操作维护人员；②培训及现场服务方案。 二、评审标准 1、完整性：方案须全面，对评审内容中的各项要求有详细描述； 2、可实施性：切合本项目实际情况，实施步骤清晰、合理； 3、针对性：方案能够紧扣项目实际情况，内容科学合理。 三、赋分依据（满分4分） 上述2项评审内容全部满足评审标准得4分；每有一个评审内容缺项扣2分，扣完为止；每有一项评审内容存在缺陷，扣（0-2）分。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提供2022年6月1日至投标文件递交截止时间所投产品市场销售业绩（以合同签订日期为准），每提供1份有效业绩得1分，满分5分； 注：投标文件中须提供完整有效的合同复印件；复印件加盖投标人公章，原件备查。</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价格分统一采用低价优先法计算，即满足招标文件要求且投标价格最低的投标报价为评标基准价，其价格分为满分。其他投标人的价格分统一按照下列公式计算：价格分=(评标基准价／投标报价)×30。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详见附件：投标人基本信息</w:t>
      </w:r>
    </w:p>
    <w:p>
      <w:pPr>
        <w:pStyle w:val="null3"/>
        <w:ind w:firstLine="960"/>
      </w:pPr>
      <w:r>
        <w:rPr>
          <w:rFonts w:ascii="仿宋_GB2312" w:hAnsi="仿宋_GB2312" w:cs="仿宋_GB2312" w:eastAsia="仿宋_GB2312"/>
        </w:rPr>
        <w:t>详见附件：投标人企业关联关系声明函</w:t>
      </w:r>
    </w:p>
    <w:p>
      <w:pPr>
        <w:pStyle w:val="null3"/>
        <w:ind w:firstLine="960"/>
      </w:pPr>
      <w:r>
        <w:rPr>
          <w:rFonts w:ascii="仿宋_GB2312" w:hAnsi="仿宋_GB2312" w:cs="仿宋_GB2312" w:eastAsia="仿宋_GB2312"/>
        </w:rPr>
        <w:t>详见附件：投标人承诺书</w:t>
      </w:r>
    </w:p>
    <w:p>
      <w:pPr>
        <w:pStyle w:val="null3"/>
        <w:ind w:firstLine="960"/>
      </w:pPr>
      <w:r>
        <w:rPr>
          <w:rFonts w:ascii="仿宋_GB2312" w:hAnsi="仿宋_GB2312" w:cs="仿宋_GB2312" w:eastAsia="仿宋_GB2312"/>
        </w:rPr>
        <w:t>详见附件：投标人资格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