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版本号：HXGJXM2025-ZC-CS106720250801002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自助打印服务项目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HXGJXM2025-ZC-CS1067</w:t>
      </w:r>
      <w:r>
        <w:br/>
      </w:r>
      <w:r>
        <w:br/>
      </w:r>
      <w:r>
        <w:br/>
      </w:r>
    </w:p>
    <w:p>
      <w:pPr>
        <w:pStyle w:val="null3"/>
        <w:jc w:val="center"/>
        <w:outlineLvl w:val="2"/>
      </w:pPr>
      <w:r>
        <w:rPr>
          <w:rFonts w:ascii="仿宋_GB2312" w:hAnsi="仿宋_GB2312" w:cs="仿宋_GB2312" w:eastAsia="仿宋_GB2312"/>
          <w:sz w:val="28"/>
          <w:b/>
        </w:rPr>
        <w:t>西安市中医医院</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自助打印服务项目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HXGJXM2025-ZC-CS1067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自助打印服务项目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多院区的检验检查报告自助打印服务，实现患者自助打印检验检查报告。提供院本部、曲江院区、南院区的检验检查自助打印服务。服务期为一年。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采购包1（自助打印服务项目）：属于专门面向中小企业采购。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1、法定代表人授权书：法定代表人授权书，附法定代表人、被授权人身份证复印件及被授权人在磋商前3个月的社会保障资金凭证（法定代表人直接参加磋商，须提供法定代表人身份证明及身份证复印件）;</w:t>
      </w:r>
    </w:p>
    <w:p>
      <w:pPr>
        <w:pStyle w:val="null3"/>
      </w:pPr>
      <w:r>
        <w:rPr>
          <w:rFonts w:ascii="仿宋_GB2312" w:hAnsi="仿宋_GB2312" w:cs="仿宋_GB2312" w:eastAsia="仿宋_GB2312"/>
        </w:rPr>
        <w:t>2、信用记录：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89626819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王攀宏､康敏茹､张宝育､张艳萍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计价格[2002]1980号）的通知和国家发展和改革委员会办公厅颁发的《关于招标代理服务收费有关问题的通知》（发改办价格[2003]857号）的有关规定下浮20%执行｡ 2.成交单位在领取成交通知书前,须向采购代理机构一次性支付招标代理服务费; 3.招标代理服务费由中标供应商支付,在领取《中标通知书》前,由中标供应商一次性支付给华夏国际项目管理（西安）有限公司｡ 招标代理服务费缴纳账户: 户名:华夏国际项目管理（西安）有限公司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由采购人和成交供应商共同对项目进行整体验收｡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联系人：王攀宏､康敏茹､张宝育､张艳萍</w:t>
      </w:r>
    </w:p>
    <w:p>
      <w:pPr>
        <w:pStyle w:val="null3"/>
      </w:pPr>
      <w:r>
        <w:rPr>
          <w:rFonts w:ascii="仿宋_GB2312" w:hAnsi="仿宋_GB2312" w:cs="仿宋_GB2312" w:eastAsia="仿宋_GB2312"/>
        </w:rPr>
        <w:t>联系电话：029-88899970/72/73/75-802</w:t>
      </w:r>
    </w:p>
    <w:p>
      <w:pPr>
        <w:pStyle w:val="null3"/>
      </w:pPr>
      <w:r>
        <w:rPr>
          <w:rFonts w:ascii="仿宋_GB2312" w:hAnsi="仿宋_GB2312" w:cs="仿宋_GB2312" w:eastAsia="仿宋_GB2312"/>
        </w:rPr>
        <w:t>地址：西安市莲湖区南二环西段202号九座花园东区1605室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多院区的检验检查报告自助打印服务，实现患者自助打印检验检查报告。提供院本部、曲江院区、南院区的检验检查自助打印服务。服务期为一年。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检查检验报告自助打印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标的名称：检查检验报告自助打印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技术要求</w:t>
            </w:r>
          </w:p>
          <w:p>
            <w:pPr>
              <w:pStyle w:val="null3"/>
              <w:jc w:val="both"/>
            </w:pPr>
            <w:r>
              <w:rPr>
                <w:rFonts w:ascii="仿宋_GB2312" w:hAnsi="仿宋_GB2312" w:cs="仿宋_GB2312" w:eastAsia="仿宋_GB2312"/>
                <w:sz w:val="24"/>
                <w:color w:val="000000"/>
              </w:rPr>
              <w:t>（一）总体需求</w:t>
            </w:r>
          </w:p>
          <w:p>
            <w:pPr>
              <w:pStyle w:val="null3"/>
              <w:jc w:val="both"/>
            </w:pPr>
            <w:r>
              <w:rPr>
                <w:rFonts w:ascii="仿宋_GB2312" w:hAnsi="仿宋_GB2312" w:cs="仿宋_GB2312" w:eastAsia="仿宋_GB2312"/>
                <w:sz w:val="24"/>
                <w:color w:val="000000"/>
              </w:rPr>
              <w:t>★1、为满足临床科室打印要求，供应商提供的自助打印软件需满足一院多区的使用需求，实现多院区医技报告、图像数据的收集、汇总及共享，实现跨院区打印报告（提供证明材料并加盖公章）。</w:t>
            </w:r>
          </w:p>
          <w:p>
            <w:pPr>
              <w:pStyle w:val="null3"/>
              <w:jc w:val="both"/>
            </w:pPr>
            <w:r>
              <w:rPr>
                <w:rFonts w:ascii="仿宋_GB2312" w:hAnsi="仿宋_GB2312" w:cs="仿宋_GB2312" w:eastAsia="仿宋_GB2312"/>
                <w:sz w:val="24"/>
                <w:color w:val="000000"/>
              </w:rPr>
              <w:t>2、全院（包括院本部、曲江院区、南院区）部署自助报告打印机≥23台，院本部影像科2台,检验科4台,功能科（超声和心电图）2台；曲江院区影像科1台，检验科2台，功能科（超声和心电图）2台；南院区影像科3台，检验科4台，功能科（超声和心电图）3台。</w:t>
            </w:r>
          </w:p>
          <w:p>
            <w:pPr>
              <w:pStyle w:val="null3"/>
              <w:jc w:val="both"/>
            </w:pPr>
            <w:r>
              <w:rPr>
                <w:rFonts w:ascii="仿宋_GB2312" w:hAnsi="仿宋_GB2312" w:cs="仿宋_GB2312" w:eastAsia="仿宋_GB2312"/>
                <w:sz w:val="24"/>
                <w:color w:val="000000"/>
              </w:rPr>
              <w:t>3、根据医院的发展情况，按需增加自助设备数量、提升设备硬件配置、调整设备放置地点等。同时根据医院需求在服务期内提供其他新增自助打印需求的服务，所供设备可以实现扫码，触摸等输入方式验证病人信息。</w:t>
            </w:r>
          </w:p>
          <w:p>
            <w:pPr>
              <w:pStyle w:val="null3"/>
              <w:jc w:val="both"/>
            </w:pPr>
            <w:r>
              <w:rPr>
                <w:rFonts w:ascii="仿宋_GB2312" w:hAnsi="仿宋_GB2312" w:cs="仿宋_GB2312" w:eastAsia="仿宋_GB2312"/>
                <w:sz w:val="24"/>
                <w:color w:val="000000"/>
              </w:rPr>
              <w:t>4、支持黑白、彩色及多种尺寸的打印，至少提供包括但不限于：影像诊断学报告（CT、MRI、DR等）、检验科报告、超声科报告、心电图报告等打印。根据科室需求提供黑白或彩色及对应尺寸报告等打印服务（提供证明材料并加盖公章）。</w:t>
            </w:r>
          </w:p>
          <w:p>
            <w:pPr>
              <w:pStyle w:val="null3"/>
              <w:jc w:val="both"/>
            </w:pPr>
            <w:r>
              <w:rPr>
                <w:rFonts w:ascii="仿宋_GB2312" w:hAnsi="仿宋_GB2312" w:cs="仿宋_GB2312" w:eastAsia="仿宋_GB2312"/>
                <w:sz w:val="24"/>
                <w:color w:val="000000"/>
              </w:rPr>
              <w:t>5、为保障软硬件产品的兼容性，系统运维服务质量等，软件系统（含移动端查询功能）、自助打印机为同一制造商生产制造（需出具证明文件）。</w:t>
            </w:r>
          </w:p>
          <w:p>
            <w:pPr>
              <w:pStyle w:val="null3"/>
              <w:jc w:val="both"/>
            </w:pPr>
            <w:r>
              <w:rPr>
                <w:rFonts w:ascii="仿宋_GB2312" w:hAnsi="仿宋_GB2312" w:cs="仿宋_GB2312" w:eastAsia="仿宋_GB2312"/>
                <w:sz w:val="24"/>
                <w:color w:val="000000"/>
              </w:rPr>
              <w:t>（二）软件需求</w:t>
            </w:r>
          </w:p>
          <w:p>
            <w:pPr>
              <w:pStyle w:val="null3"/>
              <w:jc w:val="both"/>
            </w:pPr>
            <w:r>
              <w:rPr>
                <w:rFonts w:ascii="仿宋_GB2312" w:hAnsi="仿宋_GB2312" w:cs="仿宋_GB2312" w:eastAsia="仿宋_GB2312"/>
                <w:sz w:val="24"/>
                <w:color w:val="000000"/>
              </w:rPr>
              <w:t>1、支持所有输出资料的一站式管理，实现医院影像科、检验科、功能科的图文报告、文件集中处理，所有图文资料统一通过业务服务器匹配、打印、分发。（提供证明材料并加盖公章）。</w:t>
            </w:r>
          </w:p>
          <w:p>
            <w:pPr>
              <w:pStyle w:val="null3"/>
              <w:jc w:val="both"/>
            </w:pPr>
            <w:r>
              <w:rPr>
                <w:rFonts w:ascii="仿宋_GB2312" w:hAnsi="仿宋_GB2312" w:cs="仿宋_GB2312" w:eastAsia="仿宋_GB2312"/>
                <w:sz w:val="24"/>
                <w:color w:val="000000"/>
              </w:rPr>
              <w:t>2、通过打印服务器实现所有打印输出终端设备的统一管理、日常维护数据的安全存储。（提供证明材料并加盖公章）。</w:t>
            </w:r>
          </w:p>
          <w:p>
            <w:pPr>
              <w:pStyle w:val="null3"/>
              <w:jc w:val="both"/>
            </w:pPr>
            <w:r>
              <w:rPr>
                <w:rFonts w:ascii="仿宋_GB2312" w:hAnsi="仿宋_GB2312" w:cs="仿宋_GB2312" w:eastAsia="仿宋_GB2312"/>
                <w:sz w:val="24"/>
                <w:color w:val="000000"/>
              </w:rPr>
              <w:t>▲3、实现医院影像科、检验科、超声科报告的数据采集并与患者信息进行关联，存储在院内服务器。</w:t>
            </w:r>
          </w:p>
          <w:p>
            <w:pPr>
              <w:pStyle w:val="null3"/>
              <w:jc w:val="both"/>
            </w:pPr>
            <w:r>
              <w:rPr>
                <w:rFonts w:ascii="仿宋_GB2312" w:hAnsi="仿宋_GB2312" w:cs="仿宋_GB2312" w:eastAsia="仿宋_GB2312"/>
                <w:sz w:val="24"/>
                <w:color w:val="000000"/>
              </w:rPr>
              <w:t>▲4、可按终端统计印量，支持按日期、机型、终端、打印机、文件类型、尺寸、介质等自定义组合条件进行印量统计（提供证明材料并加盖公章）。</w:t>
            </w:r>
          </w:p>
          <w:p>
            <w:pPr>
              <w:pStyle w:val="null3"/>
              <w:jc w:val="both"/>
            </w:pPr>
            <w:r>
              <w:rPr>
                <w:rFonts w:ascii="仿宋_GB2312" w:hAnsi="仿宋_GB2312" w:cs="仿宋_GB2312" w:eastAsia="仿宋_GB2312"/>
                <w:sz w:val="24"/>
                <w:color w:val="000000"/>
              </w:rPr>
              <w:t>★5、可按医技科室统计印量，支持按日期、医技科室、报告类别、介质、尺寸等自定义组合条件进行印量统计。（提供证明材料并加盖公章）。</w:t>
            </w:r>
          </w:p>
          <w:p>
            <w:pPr>
              <w:pStyle w:val="null3"/>
              <w:jc w:val="both"/>
            </w:pPr>
            <w:r>
              <w:rPr>
                <w:rFonts w:ascii="仿宋_GB2312" w:hAnsi="仿宋_GB2312" w:cs="仿宋_GB2312" w:eastAsia="仿宋_GB2312"/>
                <w:sz w:val="24"/>
                <w:color w:val="000000"/>
              </w:rPr>
              <w:t>6、可按日期、科室、报告类别等条件查询报告明细，包括科室、报告类别、颜色、打印终端、介质、尺寸、打印时间等信息。</w:t>
            </w:r>
          </w:p>
          <w:p>
            <w:pPr>
              <w:pStyle w:val="null3"/>
              <w:jc w:val="both"/>
            </w:pPr>
            <w:r>
              <w:rPr>
                <w:rFonts w:ascii="仿宋_GB2312" w:hAnsi="仿宋_GB2312" w:cs="仿宋_GB2312" w:eastAsia="仿宋_GB2312"/>
                <w:sz w:val="24"/>
                <w:color w:val="000000"/>
              </w:rPr>
              <w:t>7、可区分黑白和彩色打印服务，方便统计印量与业务服务管理。</w:t>
            </w:r>
          </w:p>
          <w:p>
            <w:pPr>
              <w:pStyle w:val="null3"/>
              <w:jc w:val="both"/>
            </w:pPr>
            <w:r>
              <w:rPr>
                <w:rFonts w:ascii="仿宋_GB2312" w:hAnsi="仿宋_GB2312" w:cs="仿宋_GB2312" w:eastAsia="仿宋_GB2312"/>
                <w:sz w:val="24"/>
                <w:color w:val="000000"/>
              </w:rPr>
              <w:t>8、对打印未成功、或者打印质</w:t>
            </w:r>
            <w:r>
              <w:rPr>
                <w:rFonts w:ascii="仿宋_GB2312" w:hAnsi="仿宋_GB2312" w:cs="仿宋_GB2312" w:eastAsia="仿宋_GB2312"/>
                <w:sz w:val="24"/>
                <w:color w:val="000000"/>
              </w:rPr>
              <w:t>量</w:t>
            </w:r>
            <w:r>
              <w:rPr>
                <w:rFonts w:ascii="仿宋_GB2312" w:hAnsi="仿宋_GB2312" w:cs="仿宋_GB2312" w:eastAsia="仿宋_GB2312"/>
                <w:sz w:val="24"/>
                <w:color w:val="000000"/>
              </w:rPr>
              <w:t>出现</w:t>
            </w:r>
            <w:r>
              <w:rPr>
                <w:rFonts w:ascii="仿宋_GB2312" w:hAnsi="仿宋_GB2312" w:cs="仿宋_GB2312" w:eastAsia="仿宋_GB2312"/>
                <w:sz w:val="24"/>
                <w:color w:val="000000"/>
              </w:rPr>
              <w:t>问题等报告进行</w:t>
            </w:r>
            <w:r>
              <w:rPr>
                <w:rFonts w:ascii="仿宋_GB2312" w:hAnsi="仿宋_GB2312" w:cs="仿宋_GB2312" w:eastAsia="仿宋_GB2312"/>
                <w:sz w:val="24"/>
                <w:color w:val="000000"/>
              </w:rPr>
              <w:t>补充打印</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9、支持在指定时间内发送第二份报告可以覆盖前一份报告。</w:t>
            </w:r>
          </w:p>
          <w:p>
            <w:pPr>
              <w:pStyle w:val="null3"/>
              <w:jc w:val="both"/>
            </w:pPr>
            <w:r>
              <w:rPr>
                <w:rFonts w:ascii="仿宋_GB2312" w:hAnsi="仿宋_GB2312" w:cs="仿宋_GB2312" w:eastAsia="仿宋_GB2312"/>
                <w:sz w:val="24"/>
                <w:color w:val="000000"/>
              </w:rPr>
              <w:t>▲10、打印机状态监控功能：接收打印终端上报的打印机状态，并通过数据交换系统上传状态数据，可监控各终端运行状态。（提供证明材料并加盖公章）</w:t>
            </w:r>
          </w:p>
          <w:p>
            <w:pPr>
              <w:pStyle w:val="null3"/>
              <w:jc w:val="both"/>
            </w:pPr>
            <w:r>
              <w:rPr>
                <w:rFonts w:ascii="仿宋_GB2312" w:hAnsi="仿宋_GB2312" w:cs="仿宋_GB2312" w:eastAsia="仿宋_GB2312"/>
                <w:sz w:val="24"/>
                <w:color w:val="000000"/>
              </w:rPr>
              <w:t>11、支持WEB端管理终端软件提示语内容。</w:t>
            </w:r>
          </w:p>
          <w:p>
            <w:pPr>
              <w:pStyle w:val="null3"/>
              <w:jc w:val="both"/>
            </w:pPr>
            <w:r>
              <w:rPr>
                <w:rFonts w:ascii="仿宋_GB2312" w:hAnsi="仿宋_GB2312" w:cs="仿宋_GB2312" w:eastAsia="仿宋_GB2312"/>
                <w:sz w:val="24"/>
                <w:color w:val="000000"/>
              </w:rPr>
              <w:t>12、支持终端患者姓名隐藏规则配置。（提供证明材料并加盖公章）</w:t>
            </w:r>
          </w:p>
          <w:p>
            <w:pPr>
              <w:pStyle w:val="null3"/>
              <w:jc w:val="both"/>
            </w:pPr>
            <w:r>
              <w:rPr>
                <w:rFonts w:ascii="仿宋_GB2312" w:hAnsi="仿宋_GB2312" w:cs="仿宋_GB2312" w:eastAsia="仿宋_GB2312"/>
                <w:sz w:val="24"/>
                <w:color w:val="000000"/>
              </w:rPr>
              <w:t>13、支持在报告上按科室自定义添加水印、引导语等信息。（提供证明材料并加盖公章）</w:t>
            </w:r>
          </w:p>
          <w:p>
            <w:pPr>
              <w:pStyle w:val="null3"/>
              <w:jc w:val="both"/>
            </w:pPr>
            <w:r>
              <w:rPr>
                <w:rFonts w:ascii="仿宋_GB2312" w:hAnsi="仿宋_GB2312" w:cs="仿宋_GB2312" w:eastAsia="仿宋_GB2312"/>
                <w:sz w:val="24"/>
                <w:color w:val="000000"/>
              </w:rPr>
              <w:t>14、可对用户、角色进行权限配置。</w:t>
            </w:r>
          </w:p>
          <w:p>
            <w:pPr>
              <w:pStyle w:val="null3"/>
              <w:jc w:val="both"/>
            </w:pPr>
            <w:r>
              <w:rPr>
                <w:rFonts w:ascii="仿宋_GB2312" w:hAnsi="仿宋_GB2312" w:cs="仿宋_GB2312" w:eastAsia="仿宋_GB2312"/>
                <w:sz w:val="24"/>
                <w:color w:val="000000"/>
              </w:rPr>
              <w:t>15、可按院区、病区、门诊与住院、临床科室等条件进行报告分流，以满足各类定制需求。</w:t>
            </w:r>
          </w:p>
          <w:p>
            <w:pPr>
              <w:pStyle w:val="null3"/>
              <w:jc w:val="both"/>
            </w:pPr>
            <w:r>
              <w:rPr>
                <w:rFonts w:ascii="仿宋_GB2312" w:hAnsi="仿宋_GB2312" w:cs="仿宋_GB2312" w:eastAsia="仿宋_GB2312"/>
                <w:sz w:val="24"/>
                <w:color w:val="000000"/>
              </w:rPr>
              <w:t>▲16、多科室报告同时打印：支持同时打印放射、检验、超声、心电等全院所有报告。</w:t>
            </w:r>
          </w:p>
          <w:p>
            <w:pPr>
              <w:pStyle w:val="null3"/>
              <w:jc w:val="both"/>
            </w:pPr>
            <w:r>
              <w:rPr>
                <w:rFonts w:ascii="仿宋_GB2312" w:hAnsi="仿宋_GB2312" w:cs="仿宋_GB2312" w:eastAsia="仿宋_GB2312"/>
                <w:sz w:val="24"/>
                <w:color w:val="000000"/>
              </w:rPr>
              <w:t>▲17、多规格多材质打印：支持A4、A5等多规格打印、支持相纸/普通纸多种材质。（提供证明材料并加盖公章）</w:t>
            </w:r>
          </w:p>
          <w:p>
            <w:pPr>
              <w:pStyle w:val="null3"/>
              <w:jc w:val="both"/>
            </w:pPr>
            <w:r>
              <w:rPr>
                <w:rFonts w:ascii="仿宋_GB2312" w:hAnsi="仿宋_GB2312" w:cs="仿宋_GB2312" w:eastAsia="仿宋_GB2312"/>
                <w:sz w:val="24"/>
                <w:color w:val="000000"/>
              </w:rPr>
              <w:t>▲18、支持诊断报告上生成二维码，可不安装任何APP软件，通过移动设备扫描二维码等方式获取该患者的电子报告，实现移动端报告查询功能（甲方不再支付任何费用）。（提供证明材料并加盖公章）</w:t>
            </w:r>
          </w:p>
          <w:p>
            <w:pPr>
              <w:pStyle w:val="null3"/>
              <w:jc w:val="both"/>
            </w:pPr>
            <w:r>
              <w:rPr>
                <w:rFonts w:ascii="仿宋_GB2312" w:hAnsi="仿宋_GB2312" w:cs="仿宋_GB2312" w:eastAsia="仿宋_GB2312"/>
                <w:sz w:val="24"/>
                <w:color w:val="000000"/>
              </w:rPr>
              <w:t>19、全院自助打印服务的空窗期要求：为保障全院自助打印服务平稳过渡，供应商需承诺在合同签订后10个工作日内完成全院自助打印服务正常上线运行，保障全院自助打印服务系统正常使用及维护。</w:t>
            </w:r>
          </w:p>
          <w:p>
            <w:pPr>
              <w:pStyle w:val="null3"/>
              <w:jc w:val="both"/>
            </w:pPr>
            <w:r>
              <w:rPr>
                <w:rFonts w:ascii="仿宋_GB2312" w:hAnsi="仿宋_GB2312" w:cs="仿宋_GB2312" w:eastAsia="仿宋_GB2312"/>
                <w:sz w:val="24"/>
                <w:color w:val="000000"/>
              </w:rPr>
              <w:t>★20、供应商承担与LIS、PACS、心电系统等系统对接的所有接口费用，并提供本项目所有功能所需服务器。</w:t>
            </w:r>
          </w:p>
          <w:p>
            <w:pPr>
              <w:pStyle w:val="null3"/>
              <w:jc w:val="both"/>
            </w:pPr>
            <w:r>
              <w:rPr>
                <w:rFonts w:ascii="仿宋_GB2312" w:hAnsi="仿宋_GB2312" w:cs="仿宋_GB2312" w:eastAsia="仿宋_GB2312"/>
                <w:sz w:val="24"/>
                <w:color w:val="000000"/>
              </w:rPr>
              <w:t>（三）硬件需求</w:t>
            </w:r>
          </w:p>
          <w:p>
            <w:pPr>
              <w:pStyle w:val="null3"/>
              <w:jc w:val="both"/>
            </w:pPr>
            <w:r>
              <w:rPr>
                <w:rFonts w:ascii="仿宋_GB2312" w:hAnsi="仿宋_GB2312" w:cs="仿宋_GB2312" w:eastAsia="仿宋_GB2312"/>
                <w:sz w:val="24"/>
                <w:color w:val="000000"/>
              </w:rPr>
              <w:t>1、落地式自助机</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2、触摸显示界面：≥21英寸触摸显示屏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3、打印类型：黑白激光打印、彩色喷墨打印，根据科室打印需求提供</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4、纸盒数量：≥2个，最大纸张容量：≥700页</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5、打印规格：支持A4、A5</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6、打印速度：A4纸张≥30页/分钟</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7、打印介质：普通纸、彩色相纸</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8、扫描功能：支持条形码、二维码</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▲9、打印纸规格：</w:t>
            </w:r>
          </w:p>
          <w:p>
            <w:pPr>
              <w:pStyle w:val="null3"/>
              <w:ind w:firstLine="480"/>
              <w:jc w:val="both"/>
            </w:pPr>
            <w:r>
              <w:rPr>
                <w:rFonts w:ascii="仿宋_GB2312" w:hAnsi="仿宋_GB2312" w:cs="仿宋_GB2312" w:eastAsia="仿宋_GB2312"/>
                <w:sz w:val="24"/>
                <w:color w:val="000000"/>
              </w:rPr>
              <w:t>A4：白色，210mm×297mm，≥70g/㎡；</w:t>
            </w:r>
          </w:p>
          <w:p>
            <w:pPr>
              <w:pStyle w:val="null3"/>
              <w:ind w:firstLine="480"/>
              <w:jc w:val="both"/>
            </w:pPr>
            <w:r>
              <w:rPr>
                <w:rFonts w:ascii="仿宋_GB2312" w:hAnsi="仿宋_GB2312" w:cs="仿宋_GB2312" w:eastAsia="仿宋_GB2312"/>
                <w:sz w:val="24"/>
                <w:color w:val="000000"/>
              </w:rPr>
              <w:t>A4：彩色，210mm×297mm，≥70g/㎡；</w:t>
            </w:r>
          </w:p>
          <w:p>
            <w:pPr>
              <w:pStyle w:val="null3"/>
              <w:ind w:firstLine="480"/>
              <w:jc w:val="both"/>
            </w:pPr>
            <w:r>
              <w:rPr>
                <w:rFonts w:ascii="仿宋_GB2312" w:hAnsi="仿宋_GB2312" w:cs="仿宋_GB2312" w:eastAsia="仿宋_GB2312"/>
                <w:sz w:val="24"/>
                <w:color w:val="000000"/>
              </w:rPr>
              <w:t>A5：白色，148mm×210mm，≥70g/㎡；</w:t>
            </w:r>
          </w:p>
          <w:p>
            <w:pPr>
              <w:pStyle w:val="null3"/>
              <w:jc w:val="both"/>
            </w:pPr>
            <w:r>
              <w:rPr>
                <w:rFonts w:ascii="仿宋_GB2312" w:hAnsi="仿宋_GB2312" w:cs="仿宋_GB2312" w:eastAsia="仿宋_GB2312"/>
                <w:sz w:val="24"/>
                <w:color w:val="000000"/>
              </w:rPr>
              <w:t xml:space="preserve">    A4相纸：高光相纸，210mm×297mm，≥110g/㎡。</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color w:val="000000"/>
              </w:rPr>
              <w:t>服务要求</w:t>
            </w:r>
          </w:p>
          <w:p>
            <w:pPr>
              <w:pStyle w:val="null3"/>
              <w:ind w:firstLine="480"/>
              <w:jc w:val="both"/>
            </w:pPr>
            <w:r>
              <w:rPr>
                <w:rFonts w:ascii="仿宋_GB2312" w:hAnsi="仿宋_GB2312" w:cs="仿宋_GB2312" w:eastAsia="仿宋_GB2312"/>
                <w:sz w:val="24"/>
                <w:color w:val="000000"/>
              </w:rPr>
              <w:t>★1、供应商提供自助报告打印机所需的耗材、纸张、配件等，配备7*8小时专业驻场工程师≥2名，负责设备的保养及耗材更换，指导病人使用。保证信息安全不泄露患者隐私，签订合同后2个工作日内常驻人员全部到位（提供证明材料并加盖公章）。</w:t>
            </w:r>
          </w:p>
          <w:p>
            <w:pPr>
              <w:pStyle w:val="null3"/>
              <w:jc w:val="both"/>
            </w:pPr>
            <w:r>
              <w:rPr>
                <w:rFonts w:ascii="仿宋_GB2312" w:hAnsi="仿宋_GB2312" w:cs="仿宋_GB2312" w:eastAsia="仿宋_GB2312"/>
                <w:sz w:val="24"/>
                <w:color w:val="000000"/>
              </w:rPr>
              <w:t>2、纸质打印质量标准：黑白打印结果实心黑线，彩色打印结果无偏色；打印件无重影、断点和模糊；无直径或长度在2mm以上的脏污；无因漏印而导致的文章内容不明。确保打印质量的完好率，供应商承担错一罚十(即打印报告出错一次免收十次费用)的责任</w:t>
            </w:r>
            <w:r>
              <w:rPr>
                <w:rFonts w:ascii="仿宋_GB2312" w:hAnsi="仿宋_GB2312" w:cs="仿宋_GB2312" w:eastAsia="仿宋_GB2312"/>
                <w:sz w:val="24"/>
                <w:color w:val="000000"/>
              </w:rPr>
              <w:t>（提供承诺书并加</w:t>
            </w:r>
            <w:r>
              <w:rPr>
                <w:rFonts w:ascii="仿宋_GB2312" w:hAnsi="仿宋_GB2312" w:cs="仿宋_GB2312" w:eastAsia="仿宋_GB2312"/>
                <w:sz w:val="24"/>
                <w:color w:val="000000"/>
              </w:rPr>
              <w:t>盖公章）。</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p>
            <w:pPr>
              <w:pStyle w:val="null3"/>
              <w:ind w:firstLine="482"/>
              <w:jc w:val="both"/>
            </w:pPr>
            <w:r>
              <w:rPr>
                <w:rFonts w:ascii="仿宋_GB2312" w:hAnsi="仿宋_GB2312" w:cs="仿宋_GB2312" w:eastAsia="仿宋_GB2312"/>
                <w:sz w:val="24"/>
                <w:color w:val="000000"/>
              </w:rPr>
              <w:t>1.★号项内容为实质性响应的条款，各供应商必须做出明确响应，否则视为未实质性响应磋商文件要求。</w:t>
            </w:r>
          </w:p>
          <w:p>
            <w:pPr>
              <w:pStyle w:val="null3"/>
              <w:jc w:val="both"/>
            </w:pPr>
            <w:r>
              <w:rPr>
                <w:rFonts w:ascii="仿宋_GB2312" w:hAnsi="仿宋_GB2312" w:cs="仿宋_GB2312" w:eastAsia="仿宋_GB2312"/>
                <w:sz w:val="24"/>
                <w:color w:val="000000"/>
              </w:rPr>
              <w:t xml:space="preserve">    2.其他服务内容要求和▲号项内容为服务技术要求条款一部分，只作为扣分项。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自合同签订之日起1年。如遇不可抗力因素影响，可根据情况调整后续服务期限或条款。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项目完成后，由采购人和成交供应商共同对项目进行整体验收。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按月结算费用，转账支付，如有其他费用由中标方承担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按月结算费用，转账支付，如有其他费用由中标方承担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按月结算费用，转账支付，如有其他费用由中标方承担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按月结算费用，转账支付，如有其他费用由中标方承担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按月结算费用，转账支付，如有其他费用由中标方承担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按月结算费用，转账支付，如有其他费用由中标方承担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按月结算费用，转账支付，如有其他费用由中标方承担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按月结算费用，转账支付，如有其他费用由中标方承担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按月结算费用，转账支付，如有其他费用由中标方承担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按月结算费用，转账支付，如有其他费用由中标方承担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按月结算费用，转账支付，如有其他费用由中标方承担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按月结算费用，转账支付，如有其他费用由中标方承担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7.60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1、违约责任按《中华人民共和国民法典》处理中的相关条款执行。 2、本合同在履行过程中发生的争议,由甲､乙双方当事人协商解决,协商不成的按下列第二种方式解决: （一）提交???西安仲裁委员会仲裁; （二）依法向甲方所在地人民法院起诉｡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1.售后服务要求： 1.1服务期一年内，成交供应商负责提供全院自助打印设备及系统的维护、维修、配件更换等服务，采购人不再支付任何费用。 1.2成交供应商须提供7*24小时热线服务，对于服务请求，应在30分钟内响应，1小时内解决问题。 1.3经双方确认，自助打印设备无法修复，成交供应商必须及时提供同类型设备更换。 2、付款方式：合同签订后，按照每月实际打印量据实结算。具体细节按照甲乙双方所签订合同执行（每次付款前，成交供应商必须开具等额发票给甲方，甲方收到发票后付款）。支付方式：银行转账。 3、全院自助打印服务空窗期要求：为保障全院自助打印服务平稳过渡，供应商需承诺在合同签订后10个工作日内完成全院自助打印服务正常上线运行，保障全院自助打印服务系统正常使用及维护。 4、知识产权：采购人在中华人民共和国境内使用供应商提供的货物及服务时免受第三方提出的侵犯其专利权或其它知识产权的起诉。如果第三方提出侵权指控，成交供应商应承担由此而引起的一切法律责任和费用。 5、付款条件说明:合同签订后，按照每月实际打印量据实结算。 6、自合同签订之日起1年。若合同期限未到期，但合同据实结算金额已达合同预算总价上限，则提前终止合同。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具有独立承担民事责任能力的法人、其他组织或自然人：法人参与的提供合法有效的营业执照；其他组织参与的提供合法证明文件；自然人参与的提供其身份证明；2.财务状况证明: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投标截止日前一年内已缴存的至少一个月的社会保障资金缴存单据或社保机构开具的社会保险参保缴费情况证明，依法不需要缴纳社会保障资金的单位应提供相关证明材料;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法定代表人授权书，附法定代表人、被授权人身份证复印件及被授权人在磋商前3个月的社会保障资金凭证（法定代表人直接参加磋商，须提供法定代表人身份证明及身份证复印件）;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法定代表人或被授权人的签字或盖章齐全并加盖公章</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应满足磋商文件中的要求（详见：供应商承诺书）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未被列入黑名单</w:t>
            </w:r>
          </w:p>
        </w:tc>
        <w:tc>
          <w:tcPr>
            <w:tcW w:type="dxa" w:w="3322"/>
          </w:tcPr>
          <w:p>
            <w:pPr>
              <w:pStyle w:val="null3"/>
            </w:pPr>
            <w:r>
              <w:rPr>
                <w:rFonts w:ascii="仿宋_GB2312" w:hAnsi="仿宋_GB2312" w:cs="仿宋_GB2312" w:eastAsia="仿宋_GB2312"/>
              </w:rPr>
              <w:t>应满足磋商文件中的要求（详见：供应商未被列入黑名单承诺书）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其他资料.docx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投标产品选型符合使用需求，配置合理，其型号、参数清晰明确，投标产品的服务、技术指标、参数及功能根据以下情况计分：设备整体功能或参数完全满足磋商文件要求计25分，其响应服务要求指标出现“▲号项”负偏离的，每项扣除2分，扣完为止。“非▲号项”负偏离的，每项扣1分，扣完为止。 备注：所有投标产品的服务、技术指标、参数及功能指标，供应商须提供证明材料(包括但不限于制造厂家的产品说明书，产品图册，检测报告、官网截图等文件说明作为佐证材料)，否则单项不计分。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采购需求制定详细的服务方案，包括但不限于①实施规划、②质量管理、③驻场人员配置、④应急管理、⑤培训计划、⑥空窗期服务措施等，且方案满足采购文件要求或实际工作需求得15分，每有一个缺项扣2.5分，每有一项内容存在缺陷，扣0.1-2.5分，扣完为止； 备注：缺陷是指内容不合理、虽有内容但不完善、内容表述前后不一致、套用其他项目方案或与项目需求不匹配及其他不利于项目实施等的任意一种情形。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供应商针对本项目提供质量保证措施，包含但不限于组织机构、设施设备、耗材参数证明、管理制度及人员配备合理性。a.管理组织机构健全、设施设备、耗材储运齐全，参数证明材料齐全，相关管理制度及人员配置合理得6分；b.组织机构较健全、设施设备较齐全、制度较完善、人员配置较合理、证明材料较齐全得4分；c.组织机构不健全、设施设备不齐全、制度不完善、人员配置不合理、证明材料不齐全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样品一</w:t>
            </w:r>
          </w:p>
        </w:tc>
        <w:tc>
          <w:tcPr>
            <w:tcW w:type="dxa" w:w="2492"/>
          </w:tcPr>
          <w:p>
            <w:pPr>
              <w:pStyle w:val="null3"/>
            </w:pPr>
            <w:r>
              <w:rPr>
                <w:rFonts w:ascii="仿宋_GB2312" w:hAnsi="仿宋_GB2312" w:cs="仿宋_GB2312" w:eastAsia="仿宋_GB2312"/>
              </w:rPr>
              <w:t>黑白打印：打印字体清晰、辨识度高、无变形失真，须提供打印纸张的规格及样例作为评审样品，按其要求提供计2分，未提供样品不计分。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样品二</w:t>
            </w:r>
          </w:p>
        </w:tc>
        <w:tc>
          <w:tcPr>
            <w:tcW w:type="dxa" w:w="2492"/>
          </w:tcPr>
          <w:p>
            <w:pPr>
              <w:pStyle w:val="null3"/>
            </w:pPr>
            <w:r>
              <w:rPr>
                <w:rFonts w:ascii="仿宋_GB2312" w:hAnsi="仿宋_GB2312" w:cs="仿宋_GB2312" w:eastAsia="仿宋_GB2312"/>
              </w:rPr>
              <w:t>彩色打印：图像质量清晰、辨识度高、分辨率高、无色差、无失真，须提供打印纸张的规格及样例作为评审样品，按其要求提供计2分，未提供样品不计分。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服务质量一</w:t>
            </w:r>
          </w:p>
        </w:tc>
        <w:tc>
          <w:tcPr>
            <w:tcW w:type="dxa" w:w="2492"/>
          </w:tcPr>
          <w:p>
            <w:pPr>
              <w:pStyle w:val="null3"/>
            </w:pPr>
            <w:r>
              <w:rPr>
                <w:rFonts w:ascii="仿宋_GB2312" w:hAnsi="仿宋_GB2312" w:cs="仿宋_GB2312" w:eastAsia="仿宋_GB2312"/>
              </w:rPr>
              <w:t>移动端查询功能应满足信息安全等级保护不低于三级，并提供信息系统安全等级保护备案证明。（复印件加盖供应商公章，提供得2分，未提供得0分）。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服务质量二</w:t>
            </w:r>
          </w:p>
        </w:tc>
        <w:tc>
          <w:tcPr>
            <w:tcW w:type="dxa" w:w="2492"/>
          </w:tcPr>
          <w:p>
            <w:pPr>
              <w:pStyle w:val="null3"/>
            </w:pPr>
            <w:r>
              <w:rPr>
                <w:rFonts w:ascii="仿宋_GB2312" w:hAnsi="仿宋_GB2312" w:cs="仿宋_GB2312" w:eastAsia="仿宋_GB2312"/>
              </w:rPr>
              <w:t>供应商提供的自助打印系统获得国家版权局颁发的《计算机软件著作权登记证书》（复印件加盖供应商公章，提供得2分，未提供得0分）。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供应商针对本项目提供售后服务方案，方案内说明具体服务内容、响应时间、本地的服务团队、应急保障措施等。 a.服务方案详细完整，针对性强，应急保障措施科学合理，能满足项目实施要求得6分； b.服务方案不够完整，针对性不够强，应急保障措施不够科学合理，基本满足项目实施要求得4分。 c.服务方案不完整，针对性不强，应急保障措施简单笼统，不能满足项目实施要求得2分。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供应商提供2022年7月1日至今类似项目业绩（类似项目业绩为自助打印服务），须提供完整合同（以合同签订时间为准）复印件并加盖供应商公章，每提供1份业绩合同得2分，最高得10分，未提供不计分。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采用低价优先法计算，即满足磋商文件要求得A5黑白、A4黑白、A4彩色、A4彩色相纸最后磋商报价单价总和最低的为磋商基准价，其价格分为满分。磋商报价得分＝（磋商基准价／最后磋商报价）×30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