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版本号：HYTH-20250705420250725001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数字秦岭网格终端配备和管理系统搭建项目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HYTH-202507054</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数字秦岭网格终端配备和管理系统搭建项目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HYTH-202507054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数字秦岭网格终端配备和管理系统搭建项目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数字秦岭网格终端配备和管理系统搭建，1项。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p>
      <w:pPr>
        <w:pStyle w:val="null3"/>
      </w:pPr>
      <w:r>
        <w:rPr>
          <w:rFonts w:ascii="仿宋_GB2312" w:hAnsi="仿宋_GB2312" w:cs="仿宋_GB2312" w:eastAsia="仿宋_GB2312"/>
        </w:rPr>
        <w:t>9、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长安区关中环线S107与子午大道十字向西850米路北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李亚容、王维、赵维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联系人：赵维、王维</w:t>
      </w:r>
    </w:p>
    <w:p>
      <w:pPr>
        <w:pStyle w:val="null3"/>
      </w:pPr>
      <w:r>
        <w:rPr>
          <w:rFonts w:ascii="仿宋_GB2312" w:hAnsi="仿宋_GB2312" w:cs="仿宋_GB2312" w:eastAsia="仿宋_GB2312"/>
        </w:rPr>
        <w:t>联系电话：029-89284433-603</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数字秦岭网格终端配备和管理系统搭建，1项。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1,910,000.00</w:t>
      </w:r>
    </w:p>
    <w:p>
      <w:pPr>
        <w:pStyle w:val="null3"/>
      </w:pPr>
      <w:r>
        <w:rPr>
          <w:rFonts w:ascii="仿宋_GB2312" w:hAnsi="仿宋_GB2312" w:cs="仿宋_GB2312" w:eastAsia="仿宋_GB2312"/>
        </w:rPr>
        <w:t>采购包最高限价（元）: 1,910,000.00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数字秦岭网格终端配备和管理系统搭建项目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标的名称：数字秦岭网格终端配备和管理系统搭建项目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rPr>
              <w:t>一、项目背景</w:t>
            </w:r>
          </w:p>
          <w:p>
            <w:pPr>
              <w:pStyle w:val="null3"/>
              <w:ind w:firstLine="400"/>
            </w:pPr>
            <w:r>
              <w:rPr>
                <w:rFonts w:ascii="仿宋_GB2312" w:hAnsi="仿宋_GB2312" w:cs="仿宋_GB2312" w:eastAsia="仿宋_GB2312"/>
              </w:rPr>
              <w:t>为落实国家关于基层治理现代化、网格化管理的部署要求，西安市秦岭生态环境保护管理局将利用国产技术手段等，搭建市局数字秦岭网格终端及相应管理系统。实现网格员管理的移动化、智能化、标准化；提升日常工作效率和精准度；通过国产化、安全可控的产品方案，保障秦岭基层治理工作的数据安全和系统稳定。全面实现对全市秦保网格管理工作的规范、效率提升；对网格人员的日常工作进行统一的管理；科学调度人员，精准下发工作，同时提升应对突发事件的调度能力。</w:t>
            </w:r>
          </w:p>
          <w:p>
            <w:pPr>
              <w:pStyle w:val="null3"/>
            </w:pPr>
            <w:r>
              <w:rPr>
                <w:rFonts w:ascii="仿宋_GB2312" w:hAnsi="仿宋_GB2312" w:cs="仿宋_GB2312" w:eastAsia="仿宋_GB2312"/>
              </w:rPr>
              <w:t>二、采购内容及参数</w:t>
            </w:r>
          </w:p>
          <w:p>
            <w:pPr>
              <w:pStyle w:val="null3"/>
            </w:pPr>
            <w:r>
              <w:rPr>
                <w:rFonts w:ascii="仿宋_GB2312" w:hAnsi="仿宋_GB2312" w:cs="仿宋_GB2312" w:eastAsia="仿宋_GB2312"/>
                <w:b/>
              </w:rPr>
              <w:t>核心产品：网格终端设备</w:t>
            </w:r>
          </w:p>
          <w:p>
            <w:pPr>
              <w:pStyle w:val="null3"/>
            </w:pPr>
            <w:r>
              <w:rPr>
                <w:rFonts w:ascii="仿宋_GB2312" w:hAnsi="仿宋_GB2312" w:cs="仿宋_GB2312" w:eastAsia="仿宋_GB2312"/>
              </w:rPr>
              <w:t>1.网格终端配备要求（380台）</w:t>
            </w:r>
          </w:p>
          <w:tbl>
            <w:tblPr>
              <w:tblBorders>
                <w:top w:val="none" w:color="000000" w:sz="4"/>
                <w:left w:val="none" w:color="000000" w:sz="4"/>
                <w:bottom w:val="none" w:color="000000" w:sz="4"/>
                <w:right w:val="none" w:color="000000" w:sz="4"/>
                <w:insideH w:val="none"/>
                <w:insideV w:val="none"/>
              </w:tblBorders>
            </w:tblPr>
            <w:tblGrid>
              <w:gridCol w:w="497"/>
              <w:gridCol w:w="353"/>
              <w:gridCol w:w="1697"/>
            </w:tblGrid>
            <w:tr>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参数名称</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1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要求描述</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操作系统</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安卓或鸿蒙系统</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尺寸、重量</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尺寸≥160*75*8mm，重量≤200g（含电池）</w:t>
                  </w:r>
                </w:p>
              </w:tc>
            </w:tr>
            <w:tr>
              <w:tc>
                <w:tcPr>
                  <w:tcW w:type="dxa" w:w="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屏幕</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尺寸：≥6英寸</w:t>
                  </w:r>
                </w:p>
              </w:tc>
            </w:tr>
            <w:tr>
              <w:tc>
                <w:tcPr>
                  <w:tcW w:type="dxa" w:w="497"/>
                  <w:vMerge/>
                  <w:tcBorders>
                    <w:top w:val="none" w:color="000000" w:sz="4"/>
                    <w:left w:val="single" w:color="000000" w:sz="4"/>
                    <w:bottom w:val="single" w:color="000000" w:sz="4"/>
                    <w:right w:val="single" w:color="000000" w:sz="4"/>
                  </w:tcBorders>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分辨率：≥2400*1080</w:t>
                  </w:r>
                </w:p>
              </w:tc>
            </w:tr>
            <w:tr>
              <w:tc>
                <w:tcPr>
                  <w:tcW w:type="dxa" w:w="497"/>
                  <w:vMerge/>
                  <w:tcBorders>
                    <w:top w:val="none" w:color="000000" w:sz="4"/>
                    <w:left w:val="single" w:color="000000" w:sz="4"/>
                    <w:bottom w:val="single" w:color="000000" w:sz="4"/>
                    <w:right w:val="single" w:color="000000" w:sz="4"/>
                  </w:tcBorders>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刷新率：≥100Hz</w:t>
                  </w:r>
                </w:p>
              </w:tc>
            </w:tr>
            <w:tr>
              <w:tc>
                <w:tcPr>
                  <w:tcW w:type="dxa" w:w="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性能</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CPU：高通骁龙4 Gen2或天机801,8核以上，主频2.0GHz以上</w:t>
                  </w:r>
                </w:p>
              </w:tc>
            </w:tr>
            <w:tr>
              <w:tc>
                <w:tcPr>
                  <w:tcW w:type="dxa" w:w="497"/>
                  <w:vMerge/>
                  <w:tcBorders>
                    <w:top w:val="none" w:color="000000" w:sz="4"/>
                    <w:left w:val="single" w:color="000000" w:sz="4"/>
                    <w:bottom w:val="single" w:color="000000" w:sz="4"/>
                    <w:right w:val="single" w:color="000000" w:sz="4"/>
                  </w:tcBorders>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运行内存：≥8G</w:t>
                  </w:r>
                </w:p>
              </w:tc>
            </w:tr>
            <w:tr>
              <w:tc>
                <w:tcPr>
                  <w:tcW w:type="dxa" w:w="497"/>
                  <w:vMerge/>
                  <w:tcBorders>
                    <w:top w:val="none" w:color="000000" w:sz="4"/>
                    <w:left w:val="single" w:color="000000" w:sz="4"/>
                    <w:bottom w:val="single" w:color="000000" w:sz="4"/>
                    <w:right w:val="single" w:color="000000" w:sz="4"/>
                  </w:tcBorders>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机身容量：≥256GB</w:t>
                  </w:r>
                </w:p>
              </w:tc>
            </w:tr>
            <w:tr>
              <w:tc>
                <w:tcPr>
                  <w:tcW w:type="dxa" w:w="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影像</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后置摄像头：≥5000万</w:t>
                  </w:r>
                </w:p>
              </w:tc>
            </w:tr>
            <w:tr>
              <w:tc>
                <w:tcPr>
                  <w:tcW w:type="dxa" w:w="497"/>
                  <w:vMerge/>
                  <w:tcBorders>
                    <w:top w:val="none" w:color="000000" w:sz="4"/>
                    <w:left w:val="single" w:color="000000" w:sz="4"/>
                    <w:bottom w:val="single" w:color="000000" w:sz="4"/>
                    <w:right w:val="single" w:color="000000" w:sz="4"/>
                  </w:tcBorders>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前置摄像头：≥800万</w:t>
                  </w:r>
                </w:p>
              </w:tc>
            </w:tr>
            <w:tr>
              <w:tc>
                <w:tcPr>
                  <w:tcW w:type="dxa" w:w="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续航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电池容量：≥5800mAh</w:t>
                  </w:r>
                </w:p>
              </w:tc>
            </w:tr>
            <w:tr>
              <w:tc>
                <w:tcPr>
                  <w:tcW w:type="dxa" w:w="497"/>
                  <w:vMerge/>
                  <w:tcBorders>
                    <w:top w:val="none" w:color="000000" w:sz="4"/>
                    <w:left w:val="single" w:color="000000" w:sz="4"/>
                    <w:bottom w:val="single" w:color="000000" w:sz="4"/>
                    <w:right w:val="single" w:color="000000" w:sz="4"/>
                  </w:tcBorders>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充电：≥40W快充</w:t>
                  </w:r>
                </w:p>
              </w:tc>
            </w:tr>
            <w:tr>
              <w:tc>
                <w:tcPr>
                  <w:tcW w:type="dxa" w:w="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通信</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支持4/5G通话</w:t>
                  </w:r>
                </w:p>
              </w:tc>
            </w:tr>
            <w:tr>
              <w:tc>
                <w:tcPr>
                  <w:tcW w:type="dxa" w:w="497"/>
                  <w:vMerge/>
                  <w:tcBorders>
                    <w:top w:val="none" w:color="000000" w:sz="4"/>
                    <w:left w:val="single" w:color="000000" w:sz="4"/>
                    <w:bottom w:val="single" w:color="000000" w:sz="4"/>
                    <w:right w:val="single" w:color="000000" w:sz="4"/>
                  </w:tcBorders>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支持蓝牙/Wifi</w:t>
                  </w:r>
                </w:p>
              </w:tc>
            </w:tr>
            <w:tr>
              <w:tc>
                <w:tcPr>
                  <w:tcW w:type="dxa" w:w="497"/>
                  <w:vMerge/>
                  <w:tcBorders>
                    <w:top w:val="none" w:color="000000" w:sz="4"/>
                    <w:left w:val="single" w:color="000000" w:sz="4"/>
                    <w:bottom w:val="single" w:color="000000" w:sz="4"/>
                    <w:right w:val="single" w:color="000000" w:sz="4"/>
                  </w:tcBorders>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p>
              </w:tc>
              <w:tc>
                <w:tcPr>
                  <w:tcW w:type="dxa" w:w="1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支持双向卫星通话和支持卫星短信</w:t>
                  </w:r>
                </w:p>
              </w:tc>
            </w:tr>
          </w:tbl>
          <w:p>
            <w:pPr>
              <w:pStyle w:val="null3"/>
            </w:pPr>
            <w:r>
              <w:rPr>
                <w:rFonts w:ascii="仿宋_GB2312" w:hAnsi="仿宋_GB2312" w:cs="仿宋_GB2312" w:eastAsia="仿宋_GB2312"/>
              </w:rPr>
              <w:t>2.网格终端配套服务要求（380台套）</w:t>
            </w:r>
          </w:p>
          <w:p>
            <w:pPr>
              <w:pStyle w:val="null3"/>
            </w:pPr>
            <w:r>
              <w:rPr>
                <w:rFonts w:ascii="仿宋_GB2312" w:hAnsi="仿宋_GB2312" w:cs="仿宋_GB2312" w:eastAsia="仿宋_GB2312"/>
              </w:rPr>
              <w:t>（1）卡号服务要求</w:t>
            </w:r>
          </w:p>
          <w:p>
            <w:pPr>
              <w:pStyle w:val="null3"/>
              <w:ind w:firstLine="400"/>
            </w:pPr>
            <w:r>
              <w:rPr>
                <w:rFonts w:ascii="仿宋_GB2312" w:hAnsi="仿宋_GB2312" w:cs="仿宋_GB2312" w:eastAsia="仿宋_GB2312"/>
              </w:rPr>
              <w:t>需具备与网格终端数量相同的运营商号卡，且具备语音通话和公网流量；需完成定制网格终端与网格身份的绑定；需协助完成网格终端数量相应的卡号办理、维护服务；需协助完成市/区/街办终端设备交接工作。卫星通话和卫星短信功能协助开通服务。</w:t>
            </w:r>
          </w:p>
          <w:p>
            <w:pPr>
              <w:pStyle w:val="null3"/>
            </w:pPr>
            <w:r>
              <w:rPr>
                <w:rFonts w:ascii="仿宋_GB2312" w:hAnsi="仿宋_GB2312" w:cs="仿宋_GB2312" w:eastAsia="仿宋_GB2312"/>
              </w:rPr>
              <w:t>（2）定制服务要求</w:t>
            </w:r>
          </w:p>
          <w:p>
            <w:pPr>
              <w:pStyle w:val="null3"/>
              <w:ind w:firstLine="400"/>
            </w:pPr>
            <w:r>
              <w:rPr>
                <w:rFonts w:ascii="仿宋_GB2312" w:hAnsi="仿宋_GB2312" w:cs="仿宋_GB2312" w:eastAsia="仿宋_GB2312"/>
              </w:rPr>
              <w:t>需定制网格终端统一标识及三防外壳。</w:t>
            </w:r>
          </w:p>
          <w:p>
            <w:pPr>
              <w:pStyle w:val="null3"/>
            </w:pPr>
            <w:r>
              <w:rPr>
                <w:rFonts w:ascii="仿宋_GB2312" w:hAnsi="仿宋_GB2312" w:cs="仿宋_GB2312" w:eastAsia="仿宋_GB2312"/>
              </w:rPr>
              <w:t>★3.网格终端配备管理系统要求</w:t>
            </w:r>
          </w:p>
          <w:p>
            <w:pPr>
              <w:pStyle w:val="null3"/>
            </w:pPr>
            <w:r>
              <w:rPr>
                <w:rFonts w:ascii="仿宋_GB2312" w:hAnsi="仿宋_GB2312" w:cs="仿宋_GB2312" w:eastAsia="仿宋_GB2312"/>
              </w:rPr>
              <w:t>（1）网格终端设置专属工作界面，简洁、清晰，桌面仅保留通话、信息、拍照、相册、浏览器APP及功能，提供定制应用商城，其他应用APP根据业务要求匹配；对于异常安装其他APP，可以识别并推送到管理系统；</w:t>
            </w:r>
          </w:p>
          <w:p>
            <w:pPr>
              <w:pStyle w:val="null3"/>
            </w:pPr>
            <w:r>
              <w:rPr>
                <w:rFonts w:ascii="仿宋_GB2312" w:hAnsi="仿宋_GB2312" w:cs="仿宋_GB2312" w:eastAsia="仿宋_GB2312"/>
              </w:rPr>
              <w:t>（2）网格终端应用可以结合业务需求进行统一推送和删减APP，定时推送、静默安装、替换/升级；能够结合业务或者活动，对定制桌面壁纸进行统一推送更换；</w:t>
            </w:r>
          </w:p>
          <w:p>
            <w:pPr>
              <w:pStyle w:val="null3"/>
            </w:pPr>
            <w:r>
              <w:rPr>
                <w:rFonts w:ascii="仿宋_GB2312" w:hAnsi="仿宋_GB2312" w:cs="仿宋_GB2312" w:eastAsia="仿宋_GB2312"/>
              </w:rPr>
              <w:t>（3）预内置“西安秦岭取证”APP，用于网格员对巡检辖区内进行常态化巡检；</w:t>
            </w:r>
          </w:p>
          <w:p>
            <w:pPr>
              <w:pStyle w:val="null3"/>
            </w:pPr>
            <w:r>
              <w:rPr>
                <w:rFonts w:ascii="仿宋_GB2312" w:hAnsi="仿宋_GB2312" w:cs="仿宋_GB2312" w:eastAsia="仿宋_GB2312"/>
              </w:rPr>
              <w:t>（4）预内置“秦岭助手”APP，用户野生动植物识别，与名木古树、保护文物巡查上报等。需满足国产化适配要求；</w:t>
            </w:r>
          </w:p>
          <w:p>
            <w:pPr>
              <w:pStyle w:val="null3"/>
            </w:pPr>
            <w:r>
              <w:rPr>
                <w:rFonts w:ascii="仿宋_GB2312" w:hAnsi="仿宋_GB2312" w:cs="仿宋_GB2312" w:eastAsia="仿宋_GB2312"/>
              </w:rPr>
              <w:t>（5）预内置网格人员电子围栏信息，结合网格管理，实现任务精准下发和信息收集；</w:t>
            </w:r>
          </w:p>
          <w:p>
            <w:pPr>
              <w:pStyle w:val="null3"/>
            </w:pPr>
            <w:r>
              <w:rPr>
                <w:rFonts w:ascii="仿宋_GB2312" w:hAnsi="仿宋_GB2312" w:cs="仿宋_GB2312" w:eastAsia="仿宋_GB2312"/>
              </w:rPr>
              <w:t>（6）可以设置网络访问的黑白名单；具备设置相机水印的功能，数据采集应用拍照完之后，会自动上传至数据平台，且本地不留存；</w:t>
            </w:r>
          </w:p>
          <w:p>
            <w:pPr>
              <w:pStyle w:val="null3"/>
            </w:pPr>
            <w:r>
              <w:rPr>
                <w:rFonts w:ascii="仿宋_GB2312" w:hAnsi="仿宋_GB2312" w:cs="仿宋_GB2312" w:eastAsia="仿宋_GB2312"/>
              </w:rPr>
              <w:t>（7）能够对设备进行远程开关机管理，远程清除终端内信息、锁机等。</w:t>
            </w:r>
          </w:p>
          <w:p>
            <w:pPr>
              <w:pStyle w:val="null3"/>
            </w:pPr>
            <w:r>
              <w:rPr>
                <w:rFonts w:ascii="仿宋_GB2312" w:hAnsi="仿宋_GB2312" w:cs="仿宋_GB2312" w:eastAsia="仿宋_GB2312"/>
              </w:rPr>
              <w:t>★4.指挥中心网格终端管理系统要求（1套）</w:t>
            </w:r>
          </w:p>
          <w:p>
            <w:pPr>
              <w:pStyle w:val="null3"/>
              <w:ind w:firstLine="400"/>
            </w:pPr>
            <w:r>
              <w:rPr>
                <w:rFonts w:ascii="仿宋_GB2312" w:hAnsi="仿宋_GB2312" w:cs="仿宋_GB2312" w:eastAsia="仿宋_GB2312"/>
              </w:rPr>
              <w:t>定制搭建指挥中心网格终端配备管理系统，实现对下发的终端进行数据统一的管理，获取设备的通话、访问信息、电池、位置等，具备快速规划电子围栏能力，同时结合网格电子围栏、数字底图等可以统一、单点推送通知、任务信息，实现各区县网格业务工作的可视化，具备应急场景下的调度能力，对设备异常、人员工作范围不匹配和设备使用不规范具有整体管理、提醒告知等功能。管理平台可以对每个文件夹及用户授予权限，包括不限于查看、上传、下载、删除等；管理平台可以对每个文件夹限制容量大小，同时支持自定义删除时间，超过时间后，自动清理过期文件。需要和市局数字秦岭完成对接工作，同时需满足国产化适配要求。</w:t>
            </w:r>
          </w:p>
          <w:p>
            <w:pPr>
              <w:pStyle w:val="null3"/>
            </w:pPr>
            <w:r>
              <w:rPr>
                <w:rFonts w:ascii="仿宋_GB2312" w:hAnsi="仿宋_GB2312" w:cs="仿宋_GB2312" w:eastAsia="仿宋_GB2312"/>
              </w:rPr>
              <w:t>5.其他要求</w:t>
            </w:r>
          </w:p>
          <w:p>
            <w:pPr>
              <w:pStyle w:val="null3"/>
              <w:ind w:firstLine="400"/>
            </w:pPr>
            <w:r>
              <w:rPr>
                <w:rFonts w:ascii="仿宋_GB2312" w:hAnsi="仿宋_GB2312" w:cs="仿宋_GB2312" w:eastAsia="仿宋_GB2312"/>
              </w:rPr>
              <w:t>投标文件中需要提供应标产品资料或者官网参数截图或产品彩页等证明材料。</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1、支付方式：银行转账。</w:t>
            </w:r>
          </w:p>
          <w:p>
            <w:pPr>
              <w:pStyle w:val="null3"/>
            </w:pPr>
            <w:r>
              <w:rPr>
                <w:rFonts w:ascii="仿宋_GB2312" w:hAnsi="仿宋_GB2312" w:cs="仿宋_GB2312" w:eastAsia="仿宋_GB2312"/>
              </w:rPr>
              <w:t>2、结算方式：供应商持验收书，税务发票，中标通知书、供货合同，与采购人结算。</w:t>
            </w:r>
          </w:p>
          <w:p>
            <w:pPr>
              <w:pStyle w:val="null3"/>
              <w:jc w:val="both"/>
            </w:pPr>
            <w:r>
              <w:rPr>
                <w:rFonts w:ascii="仿宋_GB2312" w:hAnsi="仿宋_GB2312" w:cs="仿宋_GB2312" w:eastAsia="仿宋_GB2312"/>
              </w:rPr>
              <w:t>3、免费维修与更换缺陷的期限为供应商收到买方通知后24小时内。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交货期：自合同签订之日起60个日历日内，完成设备到货、配发、绑定；系统安装部署。</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到货后安装、调试、验收完成后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验收方式及验收依据：到货后，由采购单位根据合同要求进行验收。验收完成后，出具验收书，以便结算。</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争议的解决：合同执行中发生争议的，当事人双方应协商解决，协商达不成一致时，可向依法向甲方所在地人民法院起诉。详见供货合同。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网格终端”对应的中小企业划分标准所属行业为：工业；网格终端配套服务对应的中小企业划分标准所属行业为：软件和信息技术服务业。2、投标人需要在线提交所有通过电子化交易平台实施的政府采购项目的投标文件，中标人在中标结果公示后线下递交系统生成的纸质投标文件正本壹份、副本壹份，递交文件地点：西安市高新区沣惠路16号泰华金贸国际8号楼28层。3、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注：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投标人，采购代理机构将拒绝其参与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标的清单 投标文件封面 资格证明材料.docx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标的清单 投标文件封面 资格证明材料.docx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交货期、质量保证期</w:t>
            </w:r>
          </w:p>
        </w:tc>
        <w:tc>
          <w:tcPr>
            <w:tcW w:type="dxa" w:w="3322"/>
          </w:tcPr>
          <w:p>
            <w:pPr>
              <w:pStyle w:val="null3"/>
            </w:pPr>
            <w:r>
              <w:rPr>
                <w:rFonts w:ascii="仿宋_GB2312" w:hAnsi="仿宋_GB2312" w:cs="仿宋_GB2312" w:eastAsia="仿宋_GB2312"/>
              </w:rPr>
              <w:t>应满足招标文件中要求的交货期、质量保证期</w:t>
            </w:r>
          </w:p>
        </w:tc>
        <w:tc>
          <w:tcPr>
            <w:tcW w:type="dxa" w:w="1661"/>
          </w:tcPr>
          <w:p>
            <w:pPr>
              <w:pStyle w:val="null3"/>
            </w:pPr>
            <w:r>
              <w:rPr>
                <w:rFonts w:ascii="仿宋_GB2312" w:hAnsi="仿宋_GB2312" w:cs="仿宋_GB2312" w:eastAsia="仿宋_GB2312"/>
              </w:rPr>
              <w:t>开标一览表 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满足本招标文件中的实质性条款（交货期、质量保证期、交货地点、付款方式）要求</w:t>
            </w:r>
          </w:p>
        </w:tc>
        <w:tc>
          <w:tcPr>
            <w:tcW w:type="dxa" w:w="1661"/>
          </w:tcPr>
          <w:p>
            <w:pPr>
              <w:pStyle w:val="null3"/>
            </w:pPr>
            <w:r>
              <w:rPr>
                <w:rFonts w:ascii="仿宋_GB2312" w:hAnsi="仿宋_GB2312" w:cs="仿宋_GB2312" w:eastAsia="仿宋_GB2312"/>
              </w:rPr>
              <w:t>开标一览表 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标的清单 投标文件封面 资格证明材料.docx 偏差表.docx 投标人承诺书.docx 监狱企业的证明文件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产品为节能、环保、环境标志产品清单中的产品，符合招标文件要求的，可优先采购并根据其占投标报价总金额的百分比计算得分，计算公式为：得分=（节能、环保、环境标志产品清单中的产品报价/投标报价）×2</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产品选型符合招标文件技术要求，产品配置完整合理，其品牌、规格、型号、产地、技术参数清晰明确，无缺漏项，无负偏差，其响应技术指标和性能完全满足招标文件要求计13分；加“★”号参数为实质性要求参数，必须满足，并提供证明材料佐证，未满足按照无效文件处理；其他参数每有一项负偏离扣1分，扣完为止。 加分项：在满足基本分的基础上，投标产品主要技术指标、参数经评标委员会认定优于招标文件规定的技术指标、参数并且有实质性提升的（需提供相关证明材料），进行相应加分，每项加1分，最多加2分。 备注：提供相应的参数指标证明文件，证明文件包括但不限于：产品相关技术资料、官网截图、相应的产品检测报告等技术条款证明文件，证明材料需体现相关参数性能，否则不计分。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核心产品供货渠道正常，无劣质、翻新、瑕疵产品及产权纠纷，产品来源渠道合法证明材料齐全（包括但不限于销售协议、代理协议、原厂授权等）计2分，未提供不计分。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供货总体方案</w:t>
            </w:r>
          </w:p>
        </w:tc>
        <w:tc>
          <w:tcPr>
            <w:tcW w:type="dxa" w:w="2492"/>
          </w:tcPr>
          <w:p>
            <w:pPr>
              <w:pStyle w:val="null3"/>
            </w:pPr>
            <w:r>
              <w:rPr>
                <w:rFonts w:ascii="仿宋_GB2312" w:hAnsi="仿宋_GB2312" w:cs="仿宋_GB2312" w:eastAsia="仿宋_GB2312"/>
              </w:rPr>
              <w:t>投标人提供供货总体方案包括①供货进度计划及进度保障措施；②供货运输方案；③安装、调试、检测方案；④质量保障措施；⑤项目验收方案。 方案内容专门针对本项目编制，切合本项目实际情况及实施要求，内容与要点相符、每个要点均有展开详细的阐述且能够适用于本项目的计15分；以上评审内容每项有缺项扣3分；存在缺陷，每个缺陷扣1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提供服务方案，包括①总体服务方案，包括终端配套服务及定制服务方案；②系统安装服务方案③现场支持服务方案，包括人员配置及职责分工等。方案内容专门针对本项目编制，切合本项目实际情况及实施要求，内容与要点相符、每个要点均有展开详细的阐述且能够适用于本项目的计9分；以上评审内容每项有缺项扣3分；存在缺陷，每个缺陷扣1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投标人的应急保障能力，包括①应急预案； ②故障解决方案。 方案内容专门针对本项目编制，切合本项目实际情况及实施要求，内容与要点相符、每个要点均有展开详细的阐述且能够适用于本项目的计6分；以上评审内容每项有缺项扣3分；存在缺陷，每个缺陷扣1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针对本项目实际需求提供详细具体可行的售后服务方案，包括①售后服务范围及售后服务承诺；②售后服务人员配置及响应计划；③产品交付后出现质量问题的响应时间、到达时间、解决时间及保障措施等。 方案内容专门针对本项目编制，切合本项目实际情况及实施要求，内容与要点相符、每个要点均有展开详细的阐述且能够适用于本项目的计9分；以上评审内容每项有缺项扣3分；存在缺陷，每个缺陷扣1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针对本项目具有可行的技术培训方案，应包括①操作维护方法；②培训时间、地点安排等。 方案内容专门针对本项目编制，切合本项目实际情况及实施要求，内容与要点相符、每个要点均有展开详细的阐述且能够适用于本项目的计6分；以上评审内容每项有缺项扣3分；存在缺陷，每个缺陷扣1分。（缺陷是指：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投标人提供自2022年1月1日至今已完成的类似项目业绩，业绩以合同签订时间为准，每提供一份计2分，满分6分。 （注：投标文件中提供合同复印件加盖投标人公章。）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详见附件：供货服务方案及其他资料.docx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