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lang w:val="en-US" w:eastAsia="zh-CN"/>
        </w:rPr>
        <w:t>文件要求，需提供以下相关资格证明材料：</w:t>
      </w:r>
    </w:p>
    <w:p w14:paraId="0D6694BE">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i w:val="0"/>
          <w:iCs w:val="0"/>
          <w:caps w:val="0"/>
          <w:color w:val="auto"/>
          <w:spacing w:val="0"/>
          <w:kern w:val="0"/>
          <w:sz w:val="24"/>
          <w:szCs w:val="24"/>
          <w:shd w:val="clear" w:fill="FFFFFF"/>
          <w:lang w:val="en-US" w:eastAsia="zh-CN" w:bidi="ar"/>
        </w:rPr>
        <w:t xml:space="preserve"> </w:t>
      </w:r>
      <w:r>
        <w:rPr>
          <w:rFonts w:hint="eastAsia" w:ascii="宋体" w:hAnsi="宋体" w:eastAsia="宋体" w:cs="宋体"/>
          <w:color w:val="auto"/>
          <w:kern w:val="0"/>
          <w:sz w:val="24"/>
          <w:szCs w:val="24"/>
          <w:lang w:val="en-US" w:eastAsia="zh-CN" w:bidi="ar"/>
        </w:rPr>
        <w:t xml:space="preserve"> </w:t>
      </w:r>
    </w:p>
    <w:p w14:paraId="15C1CFF7">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7FD97D6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2、法定代表人直接参加磋商须提交其身份证复印件及法定代表人证明书，法定代表人授权代表参加磋商须出具授权书及被授权人身份证复印件；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的磋商事宜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磋商会议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hAnsi="宋体" w:cs="宋体"/>
          <w:color w:val="auto"/>
          <w:sz w:val="24"/>
          <w:lang w:val="en-US" w:eastAsia="zh-CN"/>
        </w:rPr>
        <w:t xml:space="preserve">  </w:t>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00A0BB09">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3、供应商应具备良好的商业信誉，提供参加政府采购活动前3年内在经营活动中没有重大违法记录的书面声明； </w:t>
      </w:r>
    </w:p>
    <w:p w14:paraId="773C33DA">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79D9FD51">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299A90D4">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006BE96F">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292EDDAF">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7B109C91">
      <w:pPr>
        <w:pStyle w:val="6"/>
        <w:spacing w:beforeAutospacing="0" w:after="360" w:afterAutospacing="0"/>
        <w:ind w:firstLine="540"/>
        <w:textAlignment w:val="baseline"/>
        <w:rPr>
          <w:rFonts w:hint="eastAsia" w:ascii="宋体" w:hAnsi="宋体" w:eastAsia="宋体" w:cs="宋体"/>
          <w:color w:val="auto"/>
          <w:sz w:val="24"/>
          <w:szCs w:val="24"/>
        </w:rPr>
      </w:pPr>
    </w:p>
    <w:p w14:paraId="2430F18D">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61D1ABC8">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06A8C145">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26766DBB">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14:paraId="5DE61030">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4、供应商提供2023或2024年的财务审计报告（至少包括资产负债表和利润表，成立时间至提交响应文件截止时间不足一年的可提供成立后任意时段的资产负债表），或其开标前六个月内银行开具的资信证明； </w:t>
      </w:r>
    </w:p>
    <w:p w14:paraId="023BA500">
      <w:pPr>
        <w:rPr>
          <w:rFonts w:hint="eastAsia" w:ascii="宋体" w:hAnsi="宋体" w:eastAsia="宋体" w:cs="宋体"/>
          <w:bCs/>
          <w:caps/>
          <w:color w:val="auto"/>
          <w:sz w:val="24"/>
          <w:szCs w:val="24"/>
          <w:lang w:val="en-US" w:eastAsia="zh-CN"/>
        </w:rPr>
      </w:pPr>
      <w:r>
        <w:rPr>
          <w:rFonts w:hint="eastAsia" w:ascii="宋体" w:hAnsi="宋体" w:eastAsia="宋体" w:cs="宋体"/>
          <w:bCs/>
          <w:caps/>
          <w:color w:val="auto"/>
          <w:sz w:val="24"/>
          <w:szCs w:val="24"/>
          <w:lang w:val="en-US" w:eastAsia="zh-CN"/>
        </w:rPr>
        <w:br w:type="page"/>
      </w:r>
    </w:p>
    <w:p w14:paraId="05E1174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w:t>
      </w:r>
      <w:r>
        <w:rPr>
          <w:rFonts w:hint="eastAsia" w:ascii="宋体" w:hAnsi="宋体" w:eastAsia="宋体" w:cs="宋体"/>
          <w:i w:val="0"/>
          <w:iCs w:val="0"/>
          <w:caps w:val="0"/>
          <w:color w:val="auto"/>
          <w:spacing w:val="0"/>
          <w:kern w:val="0"/>
          <w:sz w:val="24"/>
          <w:szCs w:val="24"/>
          <w:shd w:val="clear" w:fill="FFFFFF"/>
          <w:lang w:val="en-US" w:eastAsia="zh-CN" w:bidi="ar"/>
        </w:rPr>
        <w:tab/>
      </w:r>
      <w:r>
        <w:rPr>
          <w:rFonts w:hint="eastAsia" w:ascii="宋体" w:hAnsi="宋体" w:eastAsia="宋体" w:cs="宋体"/>
          <w:i w:val="0"/>
          <w:iCs w:val="0"/>
          <w:caps w:val="0"/>
          <w:color w:val="auto"/>
          <w:spacing w:val="0"/>
          <w:kern w:val="0"/>
          <w:sz w:val="24"/>
          <w:szCs w:val="24"/>
          <w:shd w:val="clear" w:fill="FFFFFF"/>
          <w:lang w:val="en-US" w:eastAsia="zh-CN" w:bidi="ar"/>
        </w:rPr>
        <w:t>供应商提供已缴存的2024年7月至今任意一个月的社会保障资金缴存单据或社保机构开具的社会保险参保缴费情况证明，单据或证明上应有社保机构或代收机构的公章。依法不需要缴纳社会保障资金的供应商应提供相关文件证明；</w:t>
      </w:r>
    </w:p>
    <w:p w14:paraId="19890797">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20C3A45">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6、供应商提供已缴纳的2024年7月至今任意一个月的纳税证明或完税证明，纳税证明或完税证明上应有代收机构或税务机关的公章。依法免税的供应商应提供相关文件证明； </w:t>
      </w:r>
    </w:p>
    <w:p w14:paraId="3D79A7F7">
      <w:pPr>
        <w:keepNext w:val="0"/>
        <w:keepLines w:val="0"/>
        <w:widowControl/>
        <w:suppressLineNumbers w:val="0"/>
        <w:spacing w:line="360" w:lineRule="auto"/>
        <w:jc w:val="left"/>
        <w:rPr>
          <w:rFonts w:hint="default" w:ascii="宋体" w:hAnsi="宋体" w:eastAsia="宋体" w:cs="宋体"/>
          <w:i w:val="0"/>
          <w:iCs w:val="0"/>
          <w:caps w:val="0"/>
          <w:color w:val="auto"/>
          <w:spacing w:val="0"/>
          <w:kern w:val="0"/>
          <w:sz w:val="24"/>
          <w:szCs w:val="24"/>
          <w:shd w:val="clear" w:fill="FFFFFF"/>
          <w:lang w:val="en-US" w:eastAsia="zh-CN" w:bidi="ar"/>
        </w:rPr>
      </w:pPr>
      <w:r>
        <w:rPr>
          <w:rFonts w:hint="default" w:ascii="宋体" w:hAnsi="宋体" w:eastAsia="宋体" w:cs="宋体"/>
          <w:i w:val="0"/>
          <w:iCs w:val="0"/>
          <w:caps w:val="0"/>
          <w:color w:val="auto"/>
          <w:spacing w:val="0"/>
          <w:kern w:val="0"/>
          <w:sz w:val="24"/>
          <w:szCs w:val="24"/>
          <w:shd w:val="clear" w:fill="FFFFFF"/>
          <w:lang w:val="en-US" w:eastAsia="zh-CN" w:bidi="ar"/>
        </w:rPr>
        <w:br w:type="page"/>
      </w:r>
    </w:p>
    <w:p w14:paraId="241623F7">
      <w:pPr>
        <w:pStyle w:val="9"/>
        <w:widowControl w:val="0"/>
        <w:spacing w:line="360" w:lineRule="auto"/>
        <w:ind w:left="0" w:leftChars="0" w:firstLine="0" w:firstLine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7、提供具有履行合同所必需的设备和专业技术能力书面声明函；（格式自拟）</w:t>
      </w:r>
    </w:p>
    <w:p w14:paraId="7CB95CCF">
      <w:pPr>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br w:type="page"/>
      </w:r>
    </w:p>
    <w:p w14:paraId="21CE0AA8">
      <w:pPr>
        <w:pStyle w:val="9"/>
        <w:widowControl w:val="0"/>
        <w:spacing w:line="360" w:lineRule="auto"/>
        <w:ind w:left="0" w:leftChars="0" w:firstLine="0" w:firstLine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8、供应商提供不得为“信用中国”网站(http://www.creditchina.gov.cn)列入“失信被执行人（页面跳转至“中国执行信息公开网”http://zxgk.court.gov.cn/shixin/）、重大税收违法失信主体”的</w:t>
      </w:r>
      <w:bookmarkStart w:id="2" w:name="_GoBack"/>
      <w:bookmarkEnd w:id="2"/>
      <w:r>
        <w:rPr>
          <w:rFonts w:hint="eastAsia" w:ascii="宋体" w:hAnsi="宋体" w:cs="宋体"/>
          <w:bCs/>
          <w:caps/>
          <w:color w:val="auto"/>
          <w:sz w:val="24"/>
          <w:szCs w:val="24"/>
          <w:lang w:val="en-US" w:eastAsia="zh-CN"/>
        </w:rPr>
        <w:t xml:space="preserve">投标人；不得为中国政府采购网(http://www.ccgp.gov.cn)“政府采购严重违法失信行为记录名单”的投标人； </w:t>
      </w:r>
    </w:p>
    <w:p w14:paraId="70BFD467">
      <w:pPr>
        <w:pStyle w:val="9"/>
        <w:widowControl w:val="0"/>
        <w:spacing w:line="360" w:lineRule="auto"/>
        <w:ind w:left="0" w:leftChars="0" w:firstLine="0" w:firstLine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 xml:space="preserve"> </w:t>
      </w:r>
    </w:p>
    <w:p w14:paraId="4ECD1F95">
      <w:pPr>
        <w:pStyle w:val="9"/>
        <w:widowControl w:val="0"/>
        <w:spacing w:line="360" w:lineRule="auto"/>
        <w:ind w:left="0" w:leftChars="0" w:firstLine="0" w:firstLineChars="0"/>
        <w:rPr>
          <w:rFonts w:hint="default" w:ascii="宋体" w:hAnsi="宋体" w:cs="宋体"/>
          <w:bCs/>
          <w:caps/>
          <w:color w:val="auto"/>
          <w:sz w:val="24"/>
          <w:szCs w:val="24"/>
          <w:lang w:val="en-US" w:eastAsia="zh-CN"/>
        </w:rPr>
      </w:pPr>
    </w:p>
    <w:p w14:paraId="512F2AD9">
      <w:pPr>
        <w:keepNext w:val="0"/>
        <w:keepLines w:val="0"/>
        <w:widowControl/>
        <w:suppressLineNumbers w:val="0"/>
        <w:jc w:val="left"/>
        <w:rPr>
          <w:rFonts w:hint="default" w:ascii="宋体" w:hAnsi="宋体" w:eastAsia="宋体" w:cs="宋体"/>
          <w:i w:val="0"/>
          <w:iCs w:val="0"/>
          <w:caps w:val="0"/>
          <w:color w:val="auto"/>
          <w:spacing w:val="0"/>
          <w:kern w:val="0"/>
          <w:sz w:val="21"/>
          <w:szCs w:val="21"/>
          <w:shd w:val="clear" w:fill="FFFFFF"/>
          <w:lang w:val="en-US" w:eastAsia="zh-CN" w:bidi="ar"/>
        </w:rPr>
      </w:pPr>
    </w:p>
    <w:p w14:paraId="467247FD">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6F74E58A">
      <w:pPr>
        <w:keepNext w:val="0"/>
        <w:keepLines w:val="0"/>
        <w:widowControl/>
        <w:numPr>
          <w:ilvl w:val="0"/>
          <w:numId w:val="0"/>
        </w:numPr>
        <w:suppressLineNumbers w:val="0"/>
        <w:spacing w:line="360" w:lineRule="auto"/>
        <w:jc w:val="left"/>
        <w:rPr>
          <w:rFonts w:hint="eastAsia" w:ascii="宋体" w:hAnsi="宋体" w:eastAsia="宋体" w:cs="宋体"/>
          <w:bCs/>
          <w:caps/>
          <w:color w:val="auto"/>
          <w:kern w:val="0"/>
          <w:sz w:val="24"/>
          <w:szCs w:val="24"/>
          <w:lang w:val="en-US" w:eastAsia="zh-CN" w:bidi="ar-SA"/>
        </w:rPr>
      </w:pPr>
      <w:r>
        <w:rPr>
          <w:rFonts w:hint="eastAsia" w:ascii="宋体" w:hAnsi="宋体" w:eastAsia="宋体" w:cs="宋体"/>
          <w:bCs/>
          <w:caps/>
          <w:color w:val="auto"/>
          <w:kern w:val="0"/>
          <w:sz w:val="24"/>
          <w:szCs w:val="24"/>
          <w:lang w:val="en-US" w:eastAsia="zh-CN" w:bidi="ar-SA"/>
        </w:rPr>
        <w:t>9、单位负责人为同一人或者存在直接控股、管理关系的不同供应商，不得参加同一合同项下的政府采购活动。</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435D6358">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5D44C126">
      <w:pPr>
        <w:spacing w:before="120" w:after="120" w:line="360" w:lineRule="auto"/>
        <w:ind w:firstLine="480" w:firstLineChars="200"/>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9095DE2"/>
    <w:rsid w:val="0A4038E0"/>
    <w:rsid w:val="0CF956B3"/>
    <w:rsid w:val="0D650C0A"/>
    <w:rsid w:val="0DD43EF0"/>
    <w:rsid w:val="1122192A"/>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8994AED"/>
    <w:rsid w:val="292E62EA"/>
    <w:rsid w:val="2A21776B"/>
    <w:rsid w:val="2A8049CB"/>
    <w:rsid w:val="2A975132"/>
    <w:rsid w:val="2C175D66"/>
    <w:rsid w:val="2D931A9F"/>
    <w:rsid w:val="2DF60055"/>
    <w:rsid w:val="2E8E61AD"/>
    <w:rsid w:val="2F786B4C"/>
    <w:rsid w:val="337A5602"/>
    <w:rsid w:val="380B4FEE"/>
    <w:rsid w:val="38E70267"/>
    <w:rsid w:val="3949030C"/>
    <w:rsid w:val="394C1291"/>
    <w:rsid w:val="3AD23436"/>
    <w:rsid w:val="3ADB199C"/>
    <w:rsid w:val="3BAF6AD5"/>
    <w:rsid w:val="3EF178D3"/>
    <w:rsid w:val="4B8A76FC"/>
    <w:rsid w:val="51FF0996"/>
    <w:rsid w:val="541F1C96"/>
    <w:rsid w:val="565902BA"/>
    <w:rsid w:val="56AB55B0"/>
    <w:rsid w:val="589966DD"/>
    <w:rsid w:val="5A6A4D3D"/>
    <w:rsid w:val="5BB42718"/>
    <w:rsid w:val="5F777E2D"/>
    <w:rsid w:val="605E6839"/>
    <w:rsid w:val="630F140E"/>
    <w:rsid w:val="631A3827"/>
    <w:rsid w:val="63E46773"/>
    <w:rsid w:val="64814073"/>
    <w:rsid w:val="65FE3176"/>
    <w:rsid w:val="68B86A76"/>
    <w:rsid w:val="6A6F632C"/>
    <w:rsid w:val="6F9F6319"/>
    <w:rsid w:val="71DD525F"/>
    <w:rsid w:val="73C654AD"/>
    <w:rsid w:val="784D67ED"/>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432</Words>
  <Characters>432</Characters>
  <Lines>0</Lines>
  <Paragraphs>0</Paragraphs>
  <TotalTime>0</TotalTime>
  <ScaleCrop>false</ScaleCrop>
  <LinksUpToDate>false</LinksUpToDate>
  <CharactersWithSpaces>435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NTKO</cp:lastModifiedBy>
  <dcterms:modified xsi:type="dcterms:W3CDTF">2025-07-10T05:13:48Z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