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86D348F">
      <w:pPr>
        <w:pStyle w:val="2"/>
        <w:spacing w:before="73" w:line="228" w:lineRule="auto"/>
        <w:ind w:left="2779" w:firstLine="679" w:firstLineChars="200"/>
        <w:outlineLvl w:val="0"/>
        <w:rPr>
          <w:b/>
          <w:bCs/>
          <w:color w:val="auto"/>
          <w:spacing w:val="-6"/>
          <w:sz w:val="35"/>
          <w:szCs w:val="35"/>
        </w:rPr>
      </w:pPr>
    </w:p>
    <w:p w14:paraId="2DE5EF6F">
      <w:pPr>
        <w:pStyle w:val="2"/>
        <w:spacing w:before="73" w:line="228" w:lineRule="auto"/>
        <w:ind w:left="2779" w:firstLine="679" w:firstLineChars="200"/>
        <w:outlineLvl w:val="0"/>
        <w:rPr>
          <w:color w:val="auto"/>
          <w:sz w:val="35"/>
          <w:szCs w:val="35"/>
        </w:rPr>
      </w:pPr>
      <w:r>
        <w:rPr>
          <w:b/>
          <w:bCs/>
          <w:color w:val="auto"/>
          <w:spacing w:val="-6"/>
          <w:sz w:val="35"/>
          <w:szCs w:val="35"/>
        </w:rPr>
        <w:t>合同文本</w:t>
      </w:r>
    </w:p>
    <w:p w14:paraId="65CF8CB5">
      <w:pPr>
        <w:spacing w:line="279" w:lineRule="auto"/>
        <w:rPr>
          <w:rFonts w:ascii="Arial"/>
          <w:color w:val="auto"/>
          <w:sz w:val="21"/>
        </w:rPr>
      </w:pPr>
    </w:p>
    <w:p w14:paraId="664F3584">
      <w:pPr>
        <w:spacing w:line="279" w:lineRule="auto"/>
        <w:rPr>
          <w:rFonts w:ascii="Arial"/>
          <w:color w:val="auto"/>
          <w:sz w:val="21"/>
        </w:rPr>
      </w:pPr>
    </w:p>
    <w:p w14:paraId="730D28D3">
      <w:pPr>
        <w:spacing w:line="280" w:lineRule="auto"/>
        <w:rPr>
          <w:rFonts w:ascii="Arial"/>
          <w:color w:val="auto"/>
          <w:sz w:val="21"/>
        </w:rPr>
      </w:pPr>
    </w:p>
    <w:p w14:paraId="79BD93E5">
      <w:pPr>
        <w:spacing w:line="280" w:lineRule="auto"/>
        <w:rPr>
          <w:rFonts w:ascii="Arial"/>
          <w:color w:val="auto"/>
          <w:sz w:val="21"/>
        </w:rPr>
      </w:pPr>
    </w:p>
    <w:p w14:paraId="3BAE0D5D">
      <w:pPr>
        <w:pStyle w:val="2"/>
        <w:spacing w:before="97" w:line="221" w:lineRule="auto"/>
        <w:jc w:val="center"/>
        <w:rPr>
          <w:rFonts w:hint="eastAsia" w:eastAsia="仿宋"/>
          <w:color w:val="auto"/>
          <w:sz w:val="30"/>
          <w:szCs w:val="30"/>
          <w:highlight w:val="none"/>
          <w:lang w:eastAsia="zh-CN"/>
        </w:rPr>
      </w:pPr>
      <w:r>
        <w:rPr>
          <w:rFonts w:hint="eastAsia"/>
          <w:b/>
          <w:bCs/>
          <w:color w:val="auto"/>
          <w:spacing w:val="-8"/>
          <w:sz w:val="30"/>
          <w:szCs w:val="30"/>
          <w:highlight w:val="none"/>
          <w:lang w:eastAsia="zh-CN"/>
        </w:rPr>
        <w:t>西安市秦岭生态环境保护区域短信提醒、举报奖励项目</w:t>
      </w:r>
    </w:p>
    <w:p w14:paraId="68C226DA">
      <w:pPr>
        <w:spacing w:line="268" w:lineRule="auto"/>
        <w:rPr>
          <w:rFonts w:ascii="Arial"/>
          <w:color w:val="auto"/>
          <w:sz w:val="21"/>
        </w:rPr>
      </w:pPr>
    </w:p>
    <w:p w14:paraId="4AA68813">
      <w:pPr>
        <w:spacing w:line="268" w:lineRule="auto"/>
        <w:rPr>
          <w:rFonts w:ascii="Arial"/>
          <w:color w:val="auto"/>
          <w:sz w:val="21"/>
        </w:rPr>
      </w:pPr>
    </w:p>
    <w:p w14:paraId="08A51F8F">
      <w:pPr>
        <w:spacing w:line="268" w:lineRule="auto"/>
        <w:rPr>
          <w:rFonts w:ascii="Arial"/>
          <w:color w:val="auto"/>
          <w:sz w:val="21"/>
        </w:rPr>
      </w:pPr>
    </w:p>
    <w:p w14:paraId="6D11953A">
      <w:pPr>
        <w:spacing w:line="268" w:lineRule="auto"/>
        <w:rPr>
          <w:rFonts w:ascii="Arial"/>
          <w:color w:val="auto"/>
          <w:sz w:val="21"/>
        </w:rPr>
      </w:pPr>
    </w:p>
    <w:p w14:paraId="00B9912B">
      <w:pPr>
        <w:spacing w:line="268" w:lineRule="auto"/>
        <w:rPr>
          <w:rFonts w:ascii="Arial"/>
          <w:color w:val="auto"/>
          <w:sz w:val="21"/>
        </w:rPr>
      </w:pPr>
    </w:p>
    <w:p w14:paraId="6AC26084">
      <w:pPr>
        <w:spacing w:line="268" w:lineRule="auto"/>
        <w:rPr>
          <w:rFonts w:ascii="Arial"/>
          <w:color w:val="auto"/>
          <w:sz w:val="21"/>
        </w:rPr>
      </w:pPr>
    </w:p>
    <w:p w14:paraId="144D905E">
      <w:pPr>
        <w:spacing w:line="268" w:lineRule="auto"/>
        <w:rPr>
          <w:rFonts w:ascii="Arial"/>
          <w:color w:val="auto"/>
          <w:sz w:val="21"/>
        </w:rPr>
      </w:pPr>
    </w:p>
    <w:p w14:paraId="01F8943B">
      <w:pPr>
        <w:spacing w:line="269" w:lineRule="auto"/>
        <w:rPr>
          <w:rFonts w:ascii="Arial"/>
          <w:color w:val="auto"/>
          <w:sz w:val="21"/>
        </w:rPr>
      </w:pPr>
    </w:p>
    <w:p w14:paraId="4075091E">
      <w:pPr>
        <w:pStyle w:val="2"/>
        <w:spacing w:before="113" w:line="228" w:lineRule="auto"/>
        <w:jc w:val="center"/>
        <w:rPr>
          <w:color w:val="auto"/>
          <w:sz w:val="35"/>
          <w:szCs w:val="35"/>
        </w:rPr>
      </w:pPr>
      <w:r>
        <w:rPr>
          <w:b/>
          <w:bCs/>
          <w:color w:val="auto"/>
          <w:spacing w:val="-18"/>
          <w:sz w:val="35"/>
          <w:szCs w:val="35"/>
        </w:rPr>
        <w:t>政</w:t>
      </w:r>
      <w:r>
        <w:rPr>
          <w:color w:val="auto"/>
          <w:spacing w:val="23"/>
          <w:sz w:val="35"/>
          <w:szCs w:val="35"/>
        </w:rPr>
        <w:t xml:space="preserve"> </w:t>
      </w:r>
      <w:r>
        <w:rPr>
          <w:b/>
          <w:bCs/>
          <w:color w:val="auto"/>
          <w:spacing w:val="-18"/>
          <w:sz w:val="35"/>
          <w:szCs w:val="35"/>
        </w:rPr>
        <w:t>府</w:t>
      </w:r>
      <w:r>
        <w:rPr>
          <w:color w:val="auto"/>
          <w:spacing w:val="27"/>
          <w:sz w:val="35"/>
          <w:szCs w:val="35"/>
        </w:rPr>
        <w:t xml:space="preserve"> </w:t>
      </w:r>
      <w:r>
        <w:rPr>
          <w:b/>
          <w:bCs/>
          <w:color w:val="auto"/>
          <w:spacing w:val="-18"/>
          <w:sz w:val="35"/>
          <w:szCs w:val="35"/>
        </w:rPr>
        <w:t>采</w:t>
      </w:r>
      <w:r>
        <w:rPr>
          <w:color w:val="auto"/>
          <w:spacing w:val="21"/>
          <w:sz w:val="35"/>
          <w:szCs w:val="35"/>
        </w:rPr>
        <w:t xml:space="preserve"> </w:t>
      </w:r>
      <w:r>
        <w:rPr>
          <w:b/>
          <w:bCs/>
          <w:color w:val="auto"/>
          <w:spacing w:val="-18"/>
          <w:sz w:val="35"/>
          <w:szCs w:val="35"/>
        </w:rPr>
        <w:t>购</w:t>
      </w:r>
      <w:r>
        <w:rPr>
          <w:color w:val="auto"/>
          <w:spacing w:val="34"/>
          <w:sz w:val="35"/>
          <w:szCs w:val="35"/>
        </w:rPr>
        <w:t xml:space="preserve"> </w:t>
      </w:r>
      <w:r>
        <w:rPr>
          <w:b/>
          <w:bCs/>
          <w:color w:val="auto"/>
          <w:spacing w:val="-18"/>
          <w:sz w:val="35"/>
          <w:szCs w:val="35"/>
        </w:rPr>
        <w:t>合</w:t>
      </w:r>
      <w:r>
        <w:rPr>
          <w:color w:val="auto"/>
          <w:spacing w:val="64"/>
          <w:sz w:val="35"/>
          <w:szCs w:val="35"/>
        </w:rPr>
        <w:t xml:space="preserve"> </w:t>
      </w:r>
      <w:r>
        <w:rPr>
          <w:b/>
          <w:bCs/>
          <w:color w:val="auto"/>
          <w:spacing w:val="-18"/>
          <w:sz w:val="35"/>
          <w:szCs w:val="35"/>
        </w:rPr>
        <w:t>同</w:t>
      </w:r>
    </w:p>
    <w:p w14:paraId="214FF3BF">
      <w:pPr>
        <w:spacing w:line="251" w:lineRule="auto"/>
        <w:jc w:val="center"/>
        <w:rPr>
          <w:rFonts w:ascii="Arial"/>
          <w:color w:val="auto"/>
          <w:sz w:val="21"/>
        </w:rPr>
      </w:pPr>
    </w:p>
    <w:p w14:paraId="6D453ABC">
      <w:pPr>
        <w:spacing w:line="251" w:lineRule="auto"/>
        <w:jc w:val="center"/>
        <w:rPr>
          <w:rFonts w:ascii="Arial"/>
          <w:color w:val="auto"/>
          <w:sz w:val="21"/>
        </w:rPr>
      </w:pPr>
    </w:p>
    <w:p w14:paraId="79104754">
      <w:pPr>
        <w:pStyle w:val="2"/>
        <w:spacing w:before="91" w:line="224" w:lineRule="auto"/>
        <w:jc w:val="center"/>
        <w:rPr>
          <w:color w:val="auto"/>
        </w:rPr>
      </w:pPr>
      <w:r>
        <w:rPr>
          <w:b/>
          <w:bCs/>
          <w:color w:val="auto"/>
          <w:spacing w:val="-10"/>
        </w:rPr>
        <w:t>合同编号：</w:t>
      </w:r>
    </w:p>
    <w:p w14:paraId="2DD75DDB">
      <w:pPr>
        <w:spacing w:line="241" w:lineRule="auto"/>
        <w:rPr>
          <w:rFonts w:ascii="Arial"/>
          <w:color w:val="auto"/>
          <w:sz w:val="21"/>
        </w:rPr>
      </w:pPr>
    </w:p>
    <w:p w14:paraId="225B4309">
      <w:pPr>
        <w:spacing w:line="241" w:lineRule="auto"/>
        <w:rPr>
          <w:rFonts w:ascii="Arial"/>
          <w:color w:val="auto"/>
          <w:sz w:val="21"/>
        </w:rPr>
      </w:pPr>
    </w:p>
    <w:p w14:paraId="3043470A">
      <w:pPr>
        <w:spacing w:line="241" w:lineRule="auto"/>
        <w:rPr>
          <w:rFonts w:ascii="Arial"/>
          <w:color w:val="auto"/>
          <w:sz w:val="21"/>
        </w:rPr>
      </w:pPr>
    </w:p>
    <w:p w14:paraId="4EAAA32C">
      <w:pPr>
        <w:spacing w:line="241" w:lineRule="auto"/>
        <w:rPr>
          <w:rFonts w:ascii="Arial"/>
          <w:color w:val="auto"/>
          <w:sz w:val="21"/>
        </w:rPr>
      </w:pPr>
    </w:p>
    <w:p w14:paraId="4A54B264">
      <w:pPr>
        <w:spacing w:line="241" w:lineRule="auto"/>
        <w:rPr>
          <w:rFonts w:ascii="Arial"/>
          <w:color w:val="auto"/>
          <w:sz w:val="21"/>
        </w:rPr>
      </w:pPr>
    </w:p>
    <w:p w14:paraId="4E20FAFB">
      <w:pPr>
        <w:spacing w:line="241" w:lineRule="auto"/>
        <w:rPr>
          <w:rFonts w:ascii="Arial"/>
          <w:color w:val="auto"/>
          <w:sz w:val="21"/>
        </w:rPr>
      </w:pPr>
    </w:p>
    <w:p w14:paraId="077CE855">
      <w:pPr>
        <w:spacing w:line="242" w:lineRule="auto"/>
        <w:rPr>
          <w:rFonts w:ascii="Arial"/>
          <w:color w:val="auto"/>
          <w:sz w:val="21"/>
        </w:rPr>
      </w:pPr>
    </w:p>
    <w:p w14:paraId="26D7484B">
      <w:pPr>
        <w:spacing w:line="242" w:lineRule="auto"/>
        <w:rPr>
          <w:rFonts w:ascii="Arial"/>
          <w:color w:val="auto"/>
          <w:sz w:val="21"/>
        </w:rPr>
      </w:pPr>
    </w:p>
    <w:p w14:paraId="58AEF496">
      <w:pPr>
        <w:spacing w:line="242" w:lineRule="auto"/>
        <w:rPr>
          <w:rFonts w:ascii="Arial"/>
          <w:color w:val="auto"/>
          <w:sz w:val="21"/>
        </w:rPr>
      </w:pPr>
    </w:p>
    <w:p w14:paraId="2F06A055">
      <w:pPr>
        <w:spacing w:line="242" w:lineRule="auto"/>
        <w:rPr>
          <w:rFonts w:ascii="Arial"/>
          <w:color w:val="auto"/>
          <w:sz w:val="21"/>
        </w:rPr>
      </w:pPr>
    </w:p>
    <w:p w14:paraId="211D2367">
      <w:pPr>
        <w:spacing w:line="242" w:lineRule="auto"/>
        <w:rPr>
          <w:rFonts w:ascii="Arial"/>
          <w:color w:val="auto"/>
          <w:sz w:val="21"/>
        </w:rPr>
      </w:pPr>
    </w:p>
    <w:p w14:paraId="0C12EDF1">
      <w:pPr>
        <w:spacing w:line="242" w:lineRule="auto"/>
        <w:rPr>
          <w:rFonts w:ascii="Arial"/>
          <w:color w:val="auto"/>
          <w:sz w:val="21"/>
        </w:rPr>
      </w:pPr>
    </w:p>
    <w:p w14:paraId="041A8A49">
      <w:pPr>
        <w:spacing w:line="242" w:lineRule="auto"/>
        <w:rPr>
          <w:rFonts w:ascii="Arial"/>
          <w:color w:val="auto"/>
          <w:sz w:val="21"/>
        </w:rPr>
      </w:pPr>
    </w:p>
    <w:p w14:paraId="0E47B2BA">
      <w:pPr>
        <w:spacing w:line="242" w:lineRule="auto"/>
        <w:rPr>
          <w:rFonts w:ascii="Arial"/>
          <w:color w:val="auto"/>
          <w:sz w:val="21"/>
        </w:rPr>
      </w:pPr>
    </w:p>
    <w:p w14:paraId="5B4BE5F3">
      <w:pPr>
        <w:pStyle w:val="2"/>
        <w:spacing w:before="92" w:line="222" w:lineRule="auto"/>
        <w:ind w:left="1601"/>
        <w:rPr>
          <w:color w:val="auto"/>
        </w:rPr>
      </w:pPr>
      <w:r>
        <w:rPr>
          <w:b/>
          <w:bCs/>
          <w:color w:val="auto"/>
          <w:spacing w:val="4"/>
        </w:rPr>
        <w:t>甲</w:t>
      </w:r>
      <w:r>
        <w:rPr>
          <w:color w:val="auto"/>
          <w:spacing w:val="27"/>
        </w:rPr>
        <w:t xml:space="preserve">    </w:t>
      </w:r>
      <w:r>
        <w:rPr>
          <w:b/>
          <w:bCs/>
          <w:color w:val="auto"/>
          <w:spacing w:val="4"/>
        </w:rPr>
        <w:t>方</w:t>
      </w:r>
      <w:r>
        <w:rPr>
          <w:color w:val="auto"/>
          <w:spacing w:val="-84"/>
        </w:rPr>
        <w:t xml:space="preserve"> </w:t>
      </w:r>
      <w:r>
        <w:rPr>
          <w:b/>
          <w:bCs/>
          <w:color w:val="auto"/>
          <w:spacing w:val="4"/>
        </w:rPr>
        <w:t>：西安市秦岭生态环境保护管理局</w:t>
      </w:r>
    </w:p>
    <w:p w14:paraId="30550727">
      <w:pPr>
        <w:spacing w:line="436" w:lineRule="auto"/>
        <w:rPr>
          <w:rFonts w:ascii="Arial"/>
          <w:color w:val="auto"/>
          <w:sz w:val="21"/>
        </w:rPr>
      </w:pPr>
    </w:p>
    <w:p w14:paraId="209E6253">
      <w:pPr>
        <w:pStyle w:val="2"/>
        <w:spacing w:before="91" w:line="225" w:lineRule="auto"/>
        <w:ind w:left="1559"/>
        <w:rPr>
          <w:color w:val="auto"/>
        </w:rPr>
      </w:pPr>
      <w:r>
        <w:rPr>
          <w:b/>
          <w:bCs/>
          <w:color w:val="auto"/>
          <w:spacing w:val="-24"/>
        </w:rPr>
        <w:t>乙</w:t>
      </w:r>
      <w:r>
        <w:rPr>
          <w:color w:val="auto"/>
          <w:spacing w:val="27"/>
        </w:rPr>
        <w:t xml:space="preserve">    </w:t>
      </w:r>
      <w:r>
        <w:rPr>
          <w:b/>
          <w:bCs/>
          <w:color w:val="auto"/>
          <w:spacing w:val="-24"/>
        </w:rPr>
        <w:t>方：</w:t>
      </w:r>
    </w:p>
    <w:p w14:paraId="5D46CC7A">
      <w:pPr>
        <w:spacing w:line="436" w:lineRule="auto"/>
        <w:rPr>
          <w:rFonts w:ascii="Arial"/>
          <w:color w:val="auto"/>
          <w:sz w:val="21"/>
        </w:rPr>
      </w:pPr>
    </w:p>
    <w:p w14:paraId="6D63D5F0">
      <w:pPr>
        <w:pStyle w:val="2"/>
        <w:spacing w:before="91" w:line="223" w:lineRule="auto"/>
        <w:ind w:left="1721"/>
        <w:rPr>
          <w:color w:val="auto"/>
        </w:rPr>
      </w:pPr>
      <w:r>
        <w:rPr>
          <w:b/>
          <w:bCs/>
          <w:color w:val="auto"/>
          <w:spacing w:val="-5"/>
        </w:rPr>
        <w:t>签订时间：</w:t>
      </w:r>
      <w:r>
        <w:rPr>
          <w:color w:val="auto"/>
          <w:spacing w:val="-78"/>
        </w:rPr>
        <w:t xml:space="preserve"> </w:t>
      </w:r>
      <w:r>
        <w:rPr>
          <w:b/>
          <w:bCs/>
          <w:color w:val="auto"/>
          <w:spacing w:val="-5"/>
        </w:rPr>
        <w:t>二零二</w:t>
      </w:r>
      <w:r>
        <w:rPr>
          <w:color w:val="auto"/>
          <w:spacing w:val="-37"/>
        </w:rPr>
        <w:t xml:space="preserve"> </w:t>
      </w:r>
      <w:r>
        <w:rPr>
          <w:b/>
          <w:bCs/>
          <w:color w:val="auto"/>
          <w:spacing w:val="-5"/>
        </w:rPr>
        <w:t>X</w:t>
      </w:r>
      <w:r>
        <w:rPr>
          <w:color w:val="auto"/>
          <w:spacing w:val="-5"/>
        </w:rPr>
        <w:t xml:space="preserve"> </w:t>
      </w:r>
      <w:r>
        <w:rPr>
          <w:b/>
          <w:bCs/>
          <w:color w:val="auto"/>
          <w:spacing w:val="-5"/>
        </w:rPr>
        <w:t>年</w:t>
      </w:r>
      <w:r>
        <w:rPr>
          <w:color w:val="auto"/>
          <w:spacing w:val="-38"/>
        </w:rPr>
        <w:t xml:space="preserve"> </w:t>
      </w:r>
      <w:r>
        <w:rPr>
          <w:b/>
          <w:bCs/>
          <w:color w:val="auto"/>
          <w:spacing w:val="-5"/>
        </w:rPr>
        <w:t>X</w:t>
      </w:r>
      <w:r>
        <w:rPr>
          <w:color w:val="auto"/>
          <w:spacing w:val="-5"/>
        </w:rPr>
        <w:t xml:space="preserve"> </w:t>
      </w:r>
      <w:r>
        <w:rPr>
          <w:b/>
          <w:bCs/>
          <w:color w:val="auto"/>
          <w:spacing w:val="-5"/>
        </w:rPr>
        <w:t>月</w:t>
      </w:r>
      <w:r>
        <w:rPr>
          <w:color w:val="auto"/>
          <w:spacing w:val="-38"/>
        </w:rPr>
        <w:t xml:space="preserve"> </w:t>
      </w:r>
      <w:r>
        <w:rPr>
          <w:b/>
          <w:bCs/>
          <w:color w:val="auto"/>
          <w:spacing w:val="-5"/>
        </w:rPr>
        <w:t>X</w:t>
      </w:r>
      <w:r>
        <w:rPr>
          <w:color w:val="auto"/>
          <w:spacing w:val="-5"/>
        </w:rPr>
        <w:t xml:space="preserve"> </w:t>
      </w:r>
      <w:r>
        <w:rPr>
          <w:b/>
          <w:bCs/>
          <w:color w:val="auto"/>
          <w:spacing w:val="-5"/>
        </w:rPr>
        <w:t>日</w:t>
      </w:r>
    </w:p>
    <w:p w14:paraId="48CAFAF7">
      <w:pPr>
        <w:spacing w:line="223" w:lineRule="auto"/>
        <w:rPr>
          <w:color w:val="auto"/>
        </w:rPr>
        <w:sectPr>
          <w:footerReference r:id="rId5" w:type="default"/>
          <w:pgSz w:w="11906" w:h="16839"/>
          <w:pgMar w:top="1422" w:right="1785" w:bottom="1230" w:left="1785" w:header="0" w:footer="1068" w:gutter="0"/>
          <w:cols w:space="720" w:num="1"/>
        </w:sectPr>
      </w:pPr>
    </w:p>
    <w:p w14:paraId="256890AD">
      <w:pPr>
        <w:pStyle w:val="2"/>
        <w:spacing w:before="49" w:line="384" w:lineRule="auto"/>
        <w:ind w:left="15" w:right="105" w:firstLine="464"/>
        <w:rPr>
          <w:color w:val="auto"/>
          <w:sz w:val="24"/>
          <w:szCs w:val="24"/>
        </w:rPr>
      </w:pPr>
      <w:r>
        <w:rPr>
          <w:color w:val="auto"/>
          <w:spacing w:val="-5"/>
          <w:sz w:val="24"/>
          <w:szCs w:val="24"/>
        </w:rPr>
        <w:t>依据《中华人民共和国民法典》、《中华人民共和国政府采购法》与项</w:t>
      </w:r>
      <w:r>
        <w:rPr>
          <w:color w:val="auto"/>
          <w:spacing w:val="-6"/>
          <w:sz w:val="24"/>
          <w:szCs w:val="24"/>
        </w:rPr>
        <w:t>目行业有</w:t>
      </w:r>
      <w:r>
        <w:rPr>
          <w:color w:val="auto"/>
          <w:spacing w:val="-4"/>
          <w:sz w:val="24"/>
          <w:szCs w:val="24"/>
        </w:rPr>
        <w:t>关的法律法规，以及</w:t>
      </w:r>
      <w:r>
        <w:rPr>
          <w:rFonts w:hint="eastAsia"/>
          <w:color w:val="auto"/>
          <w:spacing w:val="-4"/>
          <w:sz w:val="24"/>
          <w:szCs w:val="24"/>
          <w:highlight w:val="none"/>
          <w:lang w:eastAsia="zh-CN"/>
        </w:rPr>
        <w:t>西安市秦岭生态环境保护区域短信提醒、举报奖励项目</w:t>
      </w:r>
      <w:r>
        <w:rPr>
          <w:color w:val="auto"/>
          <w:spacing w:val="-5"/>
          <w:sz w:val="24"/>
          <w:szCs w:val="24"/>
          <w:highlight w:val="none"/>
        </w:rPr>
        <w:t>（项目编号：</w:t>
      </w:r>
      <w:r>
        <w:rPr>
          <w:rFonts w:hint="eastAsia"/>
          <w:color w:val="auto"/>
          <w:spacing w:val="-5"/>
          <w:sz w:val="24"/>
          <w:szCs w:val="24"/>
          <w:highlight w:val="none"/>
          <w:lang w:eastAsia="zh-CN"/>
        </w:rPr>
        <w:t>ZCPC-2025-049</w:t>
      </w:r>
      <w:r>
        <w:rPr>
          <w:color w:val="auto"/>
          <w:spacing w:val="-4"/>
          <w:sz w:val="24"/>
          <w:szCs w:val="24"/>
          <w:highlight w:val="none"/>
        </w:rPr>
        <w:t>）的服</w:t>
      </w:r>
      <w:r>
        <w:rPr>
          <w:color w:val="auto"/>
          <w:spacing w:val="-4"/>
          <w:sz w:val="24"/>
          <w:szCs w:val="24"/>
        </w:rPr>
        <w:t>务合同，甲、乙双方同意签订</w:t>
      </w:r>
      <w:r>
        <w:rPr>
          <w:color w:val="auto"/>
          <w:spacing w:val="-5"/>
          <w:sz w:val="24"/>
          <w:szCs w:val="24"/>
        </w:rPr>
        <w:t>本合同。详细技术说明及其他有</w:t>
      </w:r>
      <w:r>
        <w:rPr>
          <w:color w:val="auto"/>
          <w:spacing w:val="-4"/>
          <w:sz w:val="24"/>
          <w:szCs w:val="24"/>
        </w:rPr>
        <w:t>关合同项目的特定信息由合同附件予以说明</w:t>
      </w:r>
      <w:r>
        <w:rPr>
          <w:color w:val="auto"/>
          <w:spacing w:val="-5"/>
          <w:sz w:val="24"/>
          <w:szCs w:val="24"/>
        </w:rPr>
        <w:t>，合同、附件及原有《招标公告》、《招标文件》、《中标通知书》等均为本合同的组成部分。</w:t>
      </w:r>
    </w:p>
    <w:p w14:paraId="75A882C5">
      <w:pPr>
        <w:pStyle w:val="2"/>
        <w:spacing w:before="1" w:line="220" w:lineRule="auto"/>
        <w:ind w:left="748"/>
        <w:rPr>
          <w:color w:val="auto"/>
          <w:sz w:val="24"/>
          <w:szCs w:val="24"/>
        </w:rPr>
      </w:pPr>
      <w:r>
        <w:rPr>
          <w:b/>
          <w:bCs/>
          <w:color w:val="auto"/>
          <w:spacing w:val="-9"/>
          <w:sz w:val="24"/>
          <w:szCs w:val="24"/>
        </w:rPr>
        <w:t>甲</w:t>
      </w:r>
      <w:r>
        <w:rPr>
          <w:color w:val="auto"/>
          <w:spacing w:val="-9"/>
          <w:sz w:val="24"/>
          <w:szCs w:val="24"/>
        </w:rPr>
        <w:t xml:space="preserve">  </w:t>
      </w:r>
      <w:r>
        <w:rPr>
          <w:b/>
          <w:bCs/>
          <w:color w:val="auto"/>
          <w:spacing w:val="-9"/>
          <w:sz w:val="24"/>
          <w:szCs w:val="24"/>
        </w:rPr>
        <w:t>方（采购人</w:t>
      </w:r>
      <w:r>
        <w:rPr>
          <w:b/>
          <w:bCs/>
          <w:color w:val="auto"/>
          <w:spacing w:val="9"/>
          <w:sz w:val="24"/>
          <w:szCs w:val="24"/>
        </w:rPr>
        <w:t>）：</w:t>
      </w:r>
      <w:r>
        <w:rPr>
          <w:b/>
          <w:bCs/>
          <w:color w:val="auto"/>
          <w:spacing w:val="-9"/>
          <w:sz w:val="24"/>
          <w:szCs w:val="24"/>
          <w:u w:val="single" w:color="auto"/>
        </w:rPr>
        <w:t>西安市秦岭生态环境保护管理局</w:t>
      </w:r>
    </w:p>
    <w:p w14:paraId="12087AE8">
      <w:pPr>
        <w:pStyle w:val="2"/>
        <w:spacing w:before="211" w:line="221" w:lineRule="auto"/>
        <w:ind w:left="733"/>
        <w:rPr>
          <w:color w:val="auto"/>
          <w:sz w:val="24"/>
          <w:szCs w:val="24"/>
        </w:rPr>
      </w:pPr>
      <w:r>
        <w:rPr>
          <w:b/>
          <w:bCs/>
          <w:color w:val="auto"/>
          <w:spacing w:val="-11"/>
          <w:sz w:val="24"/>
          <w:szCs w:val="24"/>
        </w:rPr>
        <w:t>乙</w:t>
      </w:r>
      <w:r>
        <w:rPr>
          <w:color w:val="auto"/>
          <w:spacing w:val="-11"/>
          <w:sz w:val="24"/>
          <w:szCs w:val="24"/>
        </w:rPr>
        <w:t xml:space="preserve">  </w:t>
      </w:r>
      <w:r>
        <w:rPr>
          <w:b/>
          <w:bCs/>
          <w:color w:val="auto"/>
          <w:spacing w:val="-11"/>
          <w:sz w:val="24"/>
          <w:szCs w:val="24"/>
        </w:rPr>
        <w:t>方（成交人</w:t>
      </w:r>
      <w:r>
        <w:rPr>
          <w:b/>
          <w:bCs/>
          <w:color w:val="auto"/>
          <w:spacing w:val="20"/>
          <w:sz w:val="24"/>
          <w:szCs w:val="24"/>
        </w:rPr>
        <w:t>）：</w:t>
      </w:r>
      <w:r>
        <w:rPr>
          <w:b/>
          <w:bCs/>
          <w:color w:val="auto"/>
          <w:spacing w:val="-11"/>
          <w:sz w:val="24"/>
          <w:szCs w:val="24"/>
          <w:u w:val="single" w:color="auto"/>
        </w:rPr>
        <w:t>中标人（全称）</w:t>
      </w:r>
    </w:p>
    <w:p w14:paraId="50CFB025">
      <w:pPr>
        <w:pStyle w:val="2"/>
        <w:keepNext w:val="0"/>
        <w:keepLines w:val="0"/>
        <w:pageBreakBefore w:val="0"/>
        <w:widowControl/>
        <w:kinsoku w:val="0"/>
        <w:wordWrap/>
        <w:overflowPunct/>
        <w:topLinePunct w:val="0"/>
        <w:autoSpaceDE w:val="0"/>
        <w:autoSpaceDN w:val="0"/>
        <w:bidi w:val="0"/>
        <w:adjustRightInd w:val="0"/>
        <w:snapToGrid w:val="0"/>
        <w:spacing w:before="214" w:after="157" w:afterLines="50" w:line="224" w:lineRule="auto"/>
        <w:ind w:left="476"/>
        <w:textAlignment w:val="baseline"/>
        <w:rPr>
          <w:b w:val="0"/>
          <w:bCs w:val="0"/>
          <w:color w:val="auto"/>
          <w:spacing w:val="-8"/>
          <w:sz w:val="24"/>
          <w:szCs w:val="24"/>
        </w:rPr>
      </w:pPr>
      <w:r>
        <w:rPr>
          <w:b/>
          <w:bCs/>
          <w:color w:val="auto"/>
          <w:spacing w:val="-8"/>
          <w:sz w:val="24"/>
          <w:szCs w:val="24"/>
        </w:rPr>
        <w:t>一、合同标的的内容、数量</w:t>
      </w:r>
      <w:r>
        <w:rPr>
          <w:b w:val="0"/>
          <w:bCs w:val="0"/>
          <w:color w:val="auto"/>
          <w:spacing w:val="-8"/>
          <w:sz w:val="24"/>
          <w:szCs w:val="24"/>
        </w:rPr>
        <w:t>（附中标单位服务内容）</w:t>
      </w:r>
    </w:p>
    <w:p w14:paraId="60DCD44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105" w:firstLine="464" w:firstLineChars="200"/>
        <w:textAlignment w:val="baseline"/>
        <w:rPr>
          <w:rFonts w:hint="eastAsia"/>
          <w:color w:val="auto"/>
          <w:spacing w:val="-4"/>
          <w:sz w:val="24"/>
          <w:szCs w:val="24"/>
          <w:lang w:val="en-US" w:eastAsia="zh-CN"/>
        </w:rPr>
      </w:pPr>
      <w:r>
        <w:rPr>
          <w:rFonts w:hint="eastAsia"/>
          <w:color w:val="auto"/>
          <w:spacing w:val="-4"/>
          <w:sz w:val="24"/>
          <w:szCs w:val="24"/>
          <w:lang w:val="en-US" w:eastAsia="zh-CN"/>
        </w:rPr>
        <w:t>在现有秦岭短信平台的基础上，利用大数据及基站定位等技术，对进入或身处秦岭</w:t>
      </w:r>
      <w:r>
        <w:rPr>
          <w:rFonts w:hint="default"/>
          <w:color w:val="auto"/>
          <w:spacing w:val="-4"/>
          <w:sz w:val="24"/>
          <w:szCs w:val="24"/>
          <w:lang w:val="en-US" w:eastAsia="zh-CN"/>
        </w:rPr>
        <w:t>一般保护区及重点保护区的公众及工作人员</w:t>
      </w:r>
      <w:r>
        <w:rPr>
          <w:rFonts w:hint="eastAsia"/>
          <w:color w:val="auto"/>
          <w:spacing w:val="-4"/>
          <w:sz w:val="24"/>
          <w:szCs w:val="24"/>
          <w:lang w:val="en-US" w:eastAsia="zh-CN"/>
        </w:rPr>
        <w:t>，</w:t>
      </w:r>
      <w:r>
        <w:rPr>
          <w:rFonts w:hint="default"/>
          <w:color w:val="auto"/>
          <w:spacing w:val="-4"/>
          <w:sz w:val="24"/>
          <w:szCs w:val="24"/>
          <w:lang w:val="en-US" w:eastAsia="zh-CN"/>
        </w:rPr>
        <w:t>推送</w:t>
      </w:r>
      <w:r>
        <w:rPr>
          <w:rFonts w:hint="eastAsia"/>
          <w:color w:val="auto"/>
          <w:spacing w:val="-4"/>
          <w:sz w:val="24"/>
          <w:szCs w:val="24"/>
          <w:lang w:val="en-US" w:eastAsia="zh-CN"/>
        </w:rPr>
        <w:t>火情、汛情、森林虫害、动植物保护等信息，确保宣传内容</w:t>
      </w:r>
      <w:r>
        <w:rPr>
          <w:rFonts w:hint="default"/>
          <w:color w:val="auto"/>
          <w:spacing w:val="-4"/>
          <w:sz w:val="24"/>
          <w:szCs w:val="24"/>
          <w:lang w:val="en-US" w:eastAsia="zh-CN"/>
        </w:rPr>
        <w:t>精准触达目标人群，提升公众保护意识</w:t>
      </w:r>
      <w:r>
        <w:rPr>
          <w:rFonts w:hint="eastAsia"/>
          <w:color w:val="auto"/>
          <w:spacing w:val="-4"/>
          <w:sz w:val="24"/>
          <w:szCs w:val="24"/>
          <w:lang w:val="en-US" w:eastAsia="zh-CN"/>
        </w:rPr>
        <w:t>，</w:t>
      </w:r>
      <w:r>
        <w:rPr>
          <w:color w:val="auto"/>
          <w:spacing w:val="-4"/>
          <w:sz w:val="24"/>
          <w:szCs w:val="24"/>
        </w:rPr>
        <w:t>确保相关部门能及时响应、责任人能有效处置、公众能正确避险，形成“监测-预警-发布-响应-反馈”的闭环管理</w:t>
      </w:r>
      <w:r>
        <w:rPr>
          <w:rFonts w:hint="eastAsia"/>
          <w:color w:val="auto"/>
          <w:spacing w:val="-4"/>
          <w:sz w:val="24"/>
          <w:szCs w:val="24"/>
          <w:lang w:eastAsia="zh-CN"/>
        </w:rPr>
        <w:t>。</w:t>
      </w:r>
    </w:p>
    <w:p w14:paraId="7D0AC55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1、大数据智慧短信、围栏短信等下发及分析：</w:t>
      </w:r>
    </w:p>
    <w:p w14:paraId="55121E0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1）针对秦岭保护区进行围栏触发智慧短信；针对区域内常驻人员、农家乐业主、</w:t>
      </w:r>
      <w:r>
        <w:rPr>
          <w:rFonts w:hint="eastAsia"/>
          <w:color w:val="auto"/>
          <w:spacing w:val="-3"/>
          <w:sz w:val="24"/>
          <w:szCs w:val="24"/>
          <w:lang w:val="en-US" w:eastAsia="zh-CN"/>
        </w:rPr>
        <w:t>进入围栏区域</w:t>
      </w:r>
      <w:r>
        <w:rPr>
          <w:color w:val="auto"/>
          <w:spacing w:val="-3"/>
          <w:sz w:val="24"/>
          <w:szCs w:val="24"/>
        </w:rPr>
        <w:t>人员等进行精准短信发送</w:t>
      </w:r>
      <w:r>
        <w:rPr>
          <w:rFonts w:hint="eastAsia"/>
          <w:color w:val="auto"/>
          <w:spacing w:val="-3"/>
          <w:sz w:val="24"/>
          <w:szCs w:val="24"/>
          <w:lang w:eastAsia="zh-CN"/>
        </w:rPr>
        <w:t>，</w:t>
      </w:r>
      <w:r>
        <w:rPr>
          <w:color w:val="auto"/>
          <w:spacing w:val="-3"/>
          <w:sz w:val="24"/>
          <w:szCs w:val="24"/>
        </w:rPr>
        <w:t>从而提醒相关管理要求；</w:t>
      </w:r>
    </w:p>
    <w:p w14:paraId="290CF39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rFonts w:hint="default"/>
          <w:color w:val="auto"/>
          <w:spacing w:val="-3"/>
          <w:sz w:val="24"/>
          <w:szCs w:val="24"/>
          <w:lang w:val="en-US" w:eastAsia="zh-CN"/>
        </w:rPr>
      </w:pPr>
      <w:r>
        <w:rPr>
          <w:color w:val="auto"/>
          <w:spacing w:val="-3"/>
          <w:sz w:val="24"/>
          <w:szCs w:val="24"/>
        </w:rPr>
        <w:t>2）</w:t>
      </w:r>
      <w:r>
        <w:rPr>
          <w:rFonts w:hint="eastAsia"/>
          <w:color w:val="auto"/>
          <w:spacing w:val="-3"/>
          <w:sz w:val="24"/>
          <w:szCs w:val="24"/>
          <w:lang w:val="en-US" w:eastAsia="zh-CN"/>
        </w:rPr>
        <w:t>针对火情、汛情等自然灾害向相关人员发送提醒短信；</w:t>
      </w:r>
    </w:p>
    <w:p w14:paraId="34E757E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rFonts w:hint="eastAsia"/>
          <w:color w:val="auto"/>
          <w:spacing w:val="-3"/>
          <w:sz w:val="24"/>
          <w:szCs w:val="24"/>
          <w:lang w:val="en-US" w:eastAsia="zh-CN"/>
        </w:rPr>
        <w:t>3</w:t>
      </w:r>
      <w:r>
        <w:rPr>
          <w:color w:val="auto"/>
          <w:spacing w:val="-3"/>
          <w:sz w:val="24"/>
          <w:szCs w:val="24"/>
        </w:rPr>
        <w:t>）有奖举报信息等内容；</w:t>
      </w:r>
    </w:p>
    <w:p w14:paraId="0FCAA7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rFonts w:hint="eastAsia"/>
          <w:color w:val="auto"/>
          <w:spacing w:val="-3"/>
          <w:sz w:val="24"/>
          <w:szCs w:val="24"/>
          <w:lang w:val="en-US" w:eastAsia="zh-CN"/>
        </w:rPr>
        <w:t>4</w:t>
      </w:r>
      <w:r>
        <w:rPr>
          <w:color w:val="auto"/>
          <w:spacing w:val="-3"/>
          <w:sz w:val="24"/>
          <w:szCs w:val="24"/>
        </w:rPr>
        <w:t>）针对发送的短信进行实时统计和相关分析，为秦岭保护工作提供相关支撑。</w:t>
      </w:r>
    </w:p>
    <w:p w14:paraId="1EDFB58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rFonts w:hint="eastAsia"/>
          <w:color w:val="auto"/>
          <w:spacing w:val="-3"/>
          <w:sz w:val="24"/>
          <w:szCs w:val="24"/>
          <w:lang w:val="en-US" w:eastAsia="zh-CN"/>
        </w:rPr>
        <w:t>2、</w:t>
      </w:r>
      <w:r>
        <w:rPr>
          <w:color w:val="auto"/>
          <w:spacing w:val="-3"/>
          <w:sz w:val="24"/>
          <w:szCs w:val="24"/>
        </w:rPr>
        <w:t>公益短信信息</w:t>
      </w:r>
    </w:p>
    <w:p w14:paraId="293423D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rFonts w:hint="default"/>
          <w:color w:val="auto"/>
          <w:spacing w:val="-3"/>
          <w:sz w:val="24"/>
          <w:szCs w:val="24"/>
          <w:highlight w:val="none"/>
          <w:lang w:val="en-US" w:eastAsia="zh-CN"/>
        </w:rPr>
      </w:pPr>
      <w:r>
        <w:rPr>
          <w:color w:val="auto"/>
          <w:spacing w:val="-3"/>
          <w:sz w:val="24"/>
          <w:szCs w:val="24"/>
        </w:rPr>
        <w:t>1）</w:t>
      </w:r>
      <w:r>
        <w:rPr>
          <w:rFonts w:hint="eastAsia"/>
          <w:color w:val="auto"/>
          <w:spacing w:val="-3"/>
          <w:sz w:val="24"/>
          <w:szCs w:val="24"/>
          <w:lang w:val="en-US" w:eastAsia="zh-CN"/>
        </w:rPr>
        <w:t>针对秦岭保护公益宣传、突发事件等情况，临时发送定制短信</w:t>
      </w:r>
      <w:r>
        <w:rPr>
          <w:rFonts w:hint="eastAsia"/>
          <w:color w:val="auto"/>
          <w:spacing w:val="-3"/>
          <w:sz w:val="24"/>
          <w:szCs w:val="24"/>
          <w:highlight w:val="none"/>
          <w:lang w:val="en-US" w:eastAsia="zh-CN"/>
        </w:rPr>
        <w:t>，每年大于等于5次。</w:t>
      </w:r>
    </w:p>
    <w:p w14:paraId="7B4510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rFonts w:hint="eastAsia"/>
          <w:color w:val="auto"/>
          <w:spacing w:val="-3"/>
          <w:sz w:val="24"/>
          <w:szCs w:val="24"/>
          <w:lang w:val="en-US" w:eastAsia="zh-CN"/>
        </w:rPr>
        <w:t>3、</w:t>
      </w:r>
      <w:r>
        <w:rPr>
          <w:color w:val="auto"/>
          <w:spacing w:val="-3"/>
          <w:sz w:val="24"/>
          <w:szCs w:val="24"/>
        </w:rPr>
        <w:t>大数据智慧短信平台</w:t>
      </w:r>
    </w:p>
    <w:p w14:paraId="393A35E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w:t>
      </w:r>
      <w:r>
        <w:rPr>
          <w:rFonts w:hint="eastAsia"/>
          <w:color w:val="auto"/>
          <w:spacing w:val="-3"/>
          <w:sz w:val="24"/>
          <w:szCs w:val="24"/>
          <w:lang w:val="en-US" w:eastAsia="zh-CN"/>
        </w:rPr>
        <w:t>优化</w:t>
      </w:r>
      <w:r>
        <w:rPr>
          <w:color w:val="auto"/>
          <w:spacing w:val="-3"/>
          <w:sz w:val="24"/>
          <w:szCs w:val="24"/>
        </w:rPr>
        <w:t>大数据智慧短信发送平台，实现</w:t>
      </w:r>
      <w:r>
        <w:rPr>
          <w:rFonts w:hint="eastAsia"/>
          <w:color w:val="auto"/>
          <w:spacing w:val="-3"/>
          <w:sz w:val="24"/>
          <w:szCs w:val="24"/>
          <w:lang w:val="en-US" w:eastAsia="zh-CN"/>
        </w:rPr>
        <w:t>多场景</w:t>
      </w:r>
      <w:r>
        <w:rPr>
          <w:color w:val="auto"/>
          <w:spacing w:val="-3"/>
          <w:sz w:val="24"/>
          <w:szCs w:val="24"/>
        </w:rPr>
        <w:t>智慧短信</w:t>
      </w:r>
      <w:r>
        <w:rPr>
          <w:rFonts w:hint="eastAsia"/>
          <w:color w:val="auto"/>
          <w:spacing w:val="-3"/>
          <w:sz w:val="24"/>
          <w:szCs w:val="24"/>
          <w:lang w:val="en-US" w:eastAsia="zh-CN"/>
        </w:rPr>
        <w:t>发送</w:t>
      </w:r>
      <w:r>
        <w:rPr>
          <w:color w:val="auto"/>
          <w:spacing w:val="-3"/>
          <w:sz w:val="24"/>
          <w:szCs w:val="24"/>
        </w:rPr>
        <w:t>；</w:t>
      </w:r>
    </w:p>
    <w:p w14:paraId="34264EC3">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w:t>
      </w:r>
      <w:r>
        <w:rPr>
          <w:rFonts w:hint="eastAsia"/>
          <w:color w:val="auto"/>
          <w:spacing w:val="-3"/>
          <w:sz w:val="24"/>
          <w:szCs w:val="24"/>
          <w:lang w:val="en-US" w:eastAsia="zh-CN"/>
        </w:rPr>
        <w:t>保障大数据智慧短信平台稳定运行，包含日常维护、巡检、数据库更新、通道检测等运维服务</w:t>
      </w:r>
      <w:r>
        <w:rPr>
          <w:color w:val="auto"/>
          <w:spacing w:val="-3"/>
          <w:sz w:val="24"/>
          <w:szCs w:val="24"/>
        </w:rPr>
        <w:t>；</w:t>
      </w:r>
    </w:p>
    <w:p w14:paraId="5060964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3）制定灵活的短信发送策略（可设置一次性发送（应急短信）、周期性发送（普通短信）、支持任务周期、发送时间。支持最大发送限额，支持每日最大发送限额。</w:t>
      </w:r>
    </w:p>
    <w:p w14:paraId="403399F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rFonts w:hint="default"/>
          <w:color w:val="auto"/>
          <w:spacing w:val="-3"/>
          <w:sz w:val="24"/>
          <w:szCs w:val="24"/>
          <w:lang w:val="en-US" w:eastAsia="zh-CN"/>
        </w:rPr>
      </w:pPr>
      <w:r>
        <w:rPr>
          <w:rFonts w:hint="eastAsia"/>
          <w:color w:val="auto"/>
          <w:spacing w:val="-3"/>
          <w:sz w:val="24"/>
          <w:szCs w:val="24"/>
          <w:lang w:val="en-US" w:eastAsia="zh-CN"/>
        </w:rPr>
        <w:t>4</w:t>
      </w:r>
      <w:r>
        <w:rPr>
          <w:color w:val="auto"/>
          <w:spacing w:val="-3"/>
          <w:sz w:val="24"/>
          <w:szCs w:val="24"/>
        </w:rPr>
        <w:t>）</w:t>
      </w:r>
      <w:r>
        <w:rPr>
          <w:rFonts w:hint="eastAsia"/>
          <w:color w:val="auto"/>
          <w:spacing w:val="-3"/>
          <w:sz w:val="24"/>
          <w:szCs w:val="24"/>
          <w:lang w:val="en-US" w:eastAsia="zh-CN"/>
        </w:rPr>
        <w:t>对可视化展示平台进行优化升级，包含内容（根据招标文件要求）。</w:t>
      </w:r>
    </w:p>
    <w:p w14:paraId="358B6BE5">
      <w:pPr>
        <w:pStyle w:val="2"/>
        <w:spacing w:before="214" w:line="222" w:lineRule="auto"/>
        <w:ind w:left="478"/>
        <w:rPr>
          <w:color w:val="auto"/>
          <w:sz w:val="24"/>
          <w:szCs w:val="24"/>
        </w:rPr>
      </w:pPr>
      <w:r>
        <w:rPr>
          <w:b/>
          <w:bCs/>
          <w:color w:val="auto"/>
          <w:spacing w:val="-8"/>
          <w:sz w:val="24"/>
          <w:szCs w:val="24"/>
        </w:rPr>
        <w:t>二、合同价款及支付：</w:t>
      </w:r>
    </w:p>
    <w:p w14:paraId="3483DDCE">
      <w:pPr>
        <w:pStyle w:val="2"/>
        <w:keepNext w:val="0"/>
        <w:keepLines w:val="0"/>
        <w:pageBreakBefore w:val="0"/>
        <w:widowControl/>
        <w:kinsoku w:val="0"/>
        <w:wordWrap/>
        <w:overflowPunct/>
        <w:topLinePunct w:val="0"/>
        <w:autoSpaceDE w:val="0"/>
        <w:autoSpaceDN w:val="0"/>
        <w:bidi w:val="0"/>
        <w:adjustRightInd w:val="0"/>
        <w:snapToGrid w:val="0"/>
        <w:spacing w:before="210" w:line="360" w:lineRule="auto"/>
        <w:ind w:left="709"/>
        <w:textAlignment w:val="baseline"/>
        <w:rPr>
          <w:color w:val="auto"/>
          <w:sz w:val="24"/>
          <w:szCs w:val="24"/>
        </w:rPr>
      </w:pPr>
      <w:r>
        <w:rPr>
          <w:b/>
          <w:bCs/>
          <w:color w:val="auto"/>
          <w:spacing w:val="-8"/>
          <w:sz w:val="24"/>
          <w:szCs w:val="24"/>
        </w:rPr>
        <w:t>合同总金额：</w:t>
      </w:r>
      <w:r>
        <w:rPr>
          <w:b/>
          <w:bCs/>
          <w:color w:val="auto"/>
          <w:spacing w:val="-8"/>
          <w:sz w:val="24"/>
          <w:szCs w:val="24"/>
          <w:u w:val="single" w:color="auto"/>
        </w:rPr>
        <w:t>人民币万元</w:t>
      </w:r>
    </w:p>
    <w:p w14:paraId="54381E5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1、合同签订后预付款为60%，合同所约定的全部服务内容正常履行并经采购人验收合格后支付合同价款的30%，合同执行完毕并经采购人终验合格后支付合同价款的10%。</w:t>
      </w:r>
    </w:p>
    <w:p w14:paraId="245D269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2、支付方式：银行转账。</w:t>
      </w:r>
    </w:p>
    <w:p w14:paraId="5D582E4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3、结算方式：供应商持验收书，税务发票，中标通知书、供货合同，与采购人结算。</w:t>
      </w:r>
    </w:p>
    <w:p w14:paraId="6BC2CE25">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4、若因不可抗力导致本项目提前终止的，剩余款项不予支付。一方迟延履行本合同义务后，发生不可抗力的，不能免除迟延履行一方的法律责任。</w:t>
      </w:r>
    </w:p>
    <w:p w14:paraId="414A39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项目履约完毕，采购人可以邀请第三方专业机构对项目标的、数量、考核标准、价款、供货、服务期限、付款方式、违约责任等主要合同条款仔细逐项核对，进行结算审计；如中标供应商在合同履行中出现违反合同要求而出现罚款行为或所供货、服务内容与支付金额不符等情况，最终金额以审计金额为准。</w:t>
      </w:r>
    </w:p>
    <w:p w14:paraId="2B5E1C1D">
      <w:pPr>
        <w:pStyle w:val="2"/>
        <w:spacing w:before="48" w:line="222" w:lineRule="auto"/>
        <w:ind w:left="498"/>
        <w:rPr>
          <w:color w:val="auto"/>
          <w:sz w:val="24"/>
          <w:szCs w:val="24"/>
        </w:rPr>
      </w:pPr>
      <w:r>
        <w:rPr>
          <w:rFonts w:hint="eastAsia"/>
          <w:b/>
          <w:bCs/>
          <w:color w:val="auto"/>
          <w:spacing w:val="-10"/>
          <w:sz w:val="24"/>
          <w:szCs w:val="24"/>
          <w:lang w:val="en-US" w:eastAsia="zh-CN"/>
        </w:rPr>
        <w:t>三</w:t>
      </w:r>
      <w:r>
        <w:rPr>
          <w:b/>
          <w:bCs/>
          <w:color w:val="auto"/>
          <w:spacing w:val="-10"/>
          <w:sz w:val="24"/>
          <w:szCs w:val="24"/>
        </w:rPr>
        <w:t>、中标人开户信息</w:t>
      </w:r>
    </w:p>
    <w:p w14:paraId="73B7997D">
      <w:pPr>
        <w:pStyle w:val="2"/>
        <w:spacing w:before="210" w:line="221" w:lineRule="auto"/>
        <w:ind w:left="480"/>
        <w:rPr>
          <w:color w:val="auto"/>
          <w:sz w:val="24"/>
          <w:szCs w:val="24"/>
        </w:rPr>
      </w:pPr>
      <w:r>
        <w:rPr>
          <w:color w:val="auto"/>
          <w:spacing w:val="-7"/>
          <w:sz w:val="24"/>
          <w:szCs w:val="24"/>
        </w:rPr>
        <w:t>1、中标人名称：</w:t>
      </w:r>
    </w:p>
    <w:p w14:paraId="3803E29C">
      <w:pPr>
        <w:pStyle w:val="2"/>
        <w:spacing w:before="214" w:line="221" w:lineRule="auto"/>
        <w:ind w:left="465"/>
        <w:rPr>
          <w:color w:val="auto"/>
          <w:sz w:val="24"/>
          <w:szCs w:val="24"/>
        </w:rPr>
      </w:pPr>
      <w:r>
        <w:rPr>
          <w:color w:val="auto"/>
          <w:spacing w:val="-5"/>
          <w:sz w:val="24"/>
          <w:szCs w:val="24"/>
        </w:rPr>
        <w:t>2、开户行名称：</w:t>
      </w:r>
    </w:p>
    <w:p w14:paraId="256602C2">
      <w:pPr>
        <w:pStyle w:val="2"/>
        <w:spacing w:before="211" w:line="224" w:lineRule="auto"/>
        <w:ind w:left="467"/>
        <w:rPr>
          <w:color w:val="auto"/>
          <w:sz w:val="24"/>
          <w:szCs w:val="24"/>
        </w:rPr>
      </w:pPr>
      <w:r>
        <w:rPr>
          <w:color w:val="auto"/>
          <w:spacing w:val="-15"/>
          <w:sz w:val="24"/>
          <w:szCs w:val="24"/>
        </w:rPr>
        <w:t>3</w:t>
      </w:r>
      <w:r>
        <w:rPr>
          <w:color w:val="auto"/>
          <w:spacing w:val="-91"/>
          <w:sz w:val="24"/>
          <w:szCs w:val="24"/>
        </w:rPr>
        <w:t xml:space="preserve"> </w:t>
      </w:r>
      <w:r>
        <w:rPr>
          <w:color w:val="auto"/>
          <w:spacing w:val="-15"/>
          <w:sz w:val="24"/>
          <w:szCs w:val="24"/>
        </w:rPr>
        <w:t>、账</w:t>
      </w:r>
      <w:r>
        <w:rPr>
          <w:color w:val="auto"/>
          <w:spacing w:val="22"/>
          <w:sz w:val="24"/>
          <w:szCs w:val="24"/>
        </w:rPr>
        <w:t xml:space="preserve">     </w:t>
      </w:r>
      <w:r>
        <w:rPr>
          <w:color w:val="auto"/>
          <w:spacing w:val="-15"/>
          <w:sz w:val="24"/>
          <w:szCs w:val="24"/>
        </w:rPr>
        <w:t>号：</w:t>
      </w:r>
    </w:p>
    <w:p w14:paraId="632E1207">
      <w:pPr>
        <w:pStyle w:val="2"/>
        <w:spacing w:before="208" w:line="231" w:lineRule="auto"/>
        <w:ind w:left="461"/>
        <w:rPr>
          <w:color w:val="auto"/>
          <w:sz w:val="24"/>
          <w:szCs w:val="24"/>
        </w:rPr>
      </w:pPr>
      <w:r>
        <w:rPr>
          <w:color w:val="auto"/>
          <w:spacing w:val="-14"/>
          <w:sz w:val="24"/>
          <w:szCs w:val="24"/>
        </w:rPr>
        <w:t>4</w:t>
      </w:r>
      <w:r>
        <w:rPr>
          <w:color w:val="auto"/>
          <w:spacing w:val="-89"/>
          <w:sz w:val="24"/>
          <w:szCs w:val="24"/>
        </w:rPr>
        <w:t xml:space="preserve"> </w:t>
      </w:r>
      <w:r>
        <w:rPr>
          <w:color w:val="auto"/>
          <w:spacing w:val="-14"/>
          <w:sz w:val="24"/>
          <w:szCs w:val="24"/>
        </w:rPr>
        <w:t>、地</w:t>
      </w:r>
      <w:r>
        <w:rPr>
          <w:color w:val="auto"/>
          <w:spacing w:val="22"/>
          <w:sz w:val="24"/>
          <w:szCs w:val="24"/>
        </w:rPr>
        <w:t xml:space="preserve">     </w:t>
      </w:r>
      <w:r>
        <w:rPr>
          <w:color w:val="auto"/>
          <w:spacing w:val="-14"/>
          <w:sz w:val="24"/>
          <w:szCs w:val="24"/>
        </w:rPr>
        <w:t>址：</w:t>
      </w:r>
    </w:p>
    <w:p w14:paraId="1D9061EE">
      <w:pPr>
        <w:pStyle w:val="2"/>
        <w:spacing w:before="202" w:line="221" w:lineRule="auto"/>
        <w:ind w:left="474"/>
        <w:rPr>
          <w:color w:val="auto"/>
          <w:sz w:val="24"/>
          <w:szCs w:val="24"/>
        </w:rPr>
      </w:pPr>
      <w:r>
        <w:rPr>
          <w:rFonts w:hint="eastAsia"/>
          <w:b/>
          <w:bCs/>
          <w:color w:val="auto"/>
          <w:spacing w:val="-10"/>
          <w:sz w:val="24"/>
          <w:szCs w:val="24"/>
          <w:lang w:val="en-US" w:eastAsia="zh-CN"/>
        </w:rPr>
        <w:t>四</w:t>
      </w:r>
      <w:r>
        <w:rPr>
          <w:b/>
          <w:bCs/>
          <w:color w:val="auto"/>
          <w:spacing w:val="-10"/>
          <w:sz w:val="24"/>
          <w:szCs w:val="24"/>
        </w:rPr>
        <w:t>、合同履行期限：</w:t>
      </w:r>
      <w:r>
        <w:rPr>
          <w:color w:val="auto"/>
          <w:spacing w:val="-49"/>
          <w:sz w:val="24"/>
          <w:szCs w:val="24"/>
          <w:u w:val="single" w:color="auto"/>
        </w:rPr>
        <w:t xml:space="preserve"> </w:t>
      </w:r>
      <w:r>
        <w:rPr>
          <w:b/>
          <w:bCs/>
          <w:color w:val="auto"/>
          <w:spacing w:val="-10"/>
          <w:sz w:val="24"/>
          <w:szCs w:val="24"/>
          <w:u w:val="single" w:color="auto"/>
        </w:rPr>
        <w:t>自合同签订之日起</w:t>
      </w:r>
      <w:r>
        <w:rPr>
          <w:rFonts w:hint="eastAsia"/>
          <w:b/>
          <w:bCs/>
          <w:color w:val="auto"/>
          <w:spacing w:val="-10"/>
          <w:sz w:val="24"/>
          <w:szCs w:val="24"/>
          <w:u w:val="single" w:color="auto"/>
          <w:lang w:val="en-US" w:eastAsia="zh-CN"/>
        </w:rPr>
        <w:t>壹</w:t>
      </w:r>
      <w:r>
        <w:rPr>
          <w:b/>
          <w:bCs/>
          <w:color w:val="auto"/>
          <w:spacing w:val="-10"/>
          <w:sz w:val="24"/>
          <w:szCs w:val="24"/>
          <w:u w:val="single" w:color="auto"/>
        </w:rPr>
        <w:t>年。</w:t>
      </w:r>
    </w:p>
    <w:p w14:paraId="00B0B6B4">
      <w:pPr>
        <w:pStyle w:val="2"/>
        <w:keepNext w:val="0"/>
        <w:keepLines w:val="0"/>
        <w:pageBreakBefore w:val="0"/>
        <w:widowControl/>
        <w:kinsoku w:val="0"/>
        <w:wordWrap/>
        <w:overflowPunct/>
        <w:topLinePunct w:val="0"/>
        <w:autoSpaceDE w:val="0"/>
        <w:autoSpaceDN w:val="0"/>
        <w:bidi w:val="0"/>
        <w:adjustRightInd w:val="0"/>
        <w:snapToGrid w:val="0"/>
        <w:spacing w:before="212" w:after="157" w:afterLines="50" w:line="224" w:lineRule="auto"/>
        <w:ind w:left="471"/>
        <w:textAlignment w:val="baseline"/>
        <w:rPr>
          <w:color w:val="auto"/>
          <w:sz w:val="24"/>
          <w:szCs w:val="24"/>
        </w:rPr>
      </w:pPr>
      <w:r>
        <w:rPr>
          <w:rFonts w:hint="eastAsia"/>
          <w:b/>
          <w:bCs/>
          <w:color w:val="auto"/>
          <w:spacing w:val="-7"/>
          <w:sz w:val="24"/>
          <w:szCs w:val="24"/>
          <w:lang w:val="en-US" w:eastAsia="zh-CN"/>
        </w:rPr>
        <w:t>五</w:t>
      </w:r>
      <w:r>
        <w:rPr>
          <w:b/>
          <w:bCs/>
          <w:color w:val="auto"/>
          <w:spacing w:val="-7"/>
          <w:sz w:val="24"/>
          <w:szCs w:val="24"/>
        </w:rPr>
        <w:t>、合同当事人（甲乙双方）的权利和义务</w:t>
      </w:r>
    </w:p>
    <w:p w14:paraId="20E5245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1、甲方有权享有乙方按照约定提供的服务。</w:t>
      </w:r>
    </w:p>
    <w:p w14:paraId="4CED6FF5">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甲方有权要求乙方提供符合本项目服务要求的人员，且提供的服务质量达到前述约定标准。如乙方违反协议约定，未达到服务质量要求的，甲方有权要求乙方限期改正，逾期未改正的或改正后仍给甲方造成损失的，乙方应承担相应的法律责任；</w:t>
      </w:r>
    </w:p>
    <w:p w14:paraId="5DBE2DA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甲方有权根据服务要求和标准考评乙方服务质量，如乙方提供的服务考评不合格或不符合约定的，甲方有权按照一定比例减少支付服务费用，具体减付比例结合乙方提供服务未达到约定的范围、严重程度、给甲方造成的损失情况等确定。</w:t>
      </w:r>
    </w:p>
    <w:p w14:paraId="7708FF65">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4、除本合同约定的服务费用外，乙方不得向甲方及其甲方人员收取其他任何费用，如甲方发现乙方有此类行为，甲方有权要求乙方清退所收费用，支付利息以及合同总价款5%的违约金；</w:t>
      </w:r>
    </w:p>
    <w:p w14:paraId="760B862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5、对乙方相关服务资料的所有权、使用权的约定：归甲方所有。乙方不得以任何借口留存，否则承担由此产生的一切法律和经济责任。未经甲方允许，乙方不得向其他任何单位和个人转让并允许其使用本项目的相关内容。</w:t>
      </w:r>
    </w:p>
    <w:p w14:paraId="411C466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6、在服务实施过程中，甲方应为乙方提供必要的工作便利与指导，配合乙方履行职责。</w:t>
      </w:r>
    </w:p>
    <w:p w14:paraId="4DA4C4C5">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7、甲方不得将本合同的内容向甲乙双方以外的、与签订和履行本合同无关的任何第三方透露，不得泄露乙方的商业秘密（包括本合同及其附件和合同签订前的各项方案）。履行前述保密义务，不受本合同期满终止、中止或解除等任何情形的影响而被限制或取消,直至相关保密信息通过合法途径为公众所知，或对方书面同意解除此项义务时止。</w:t>
      </w:r>
    </w:p>
    <w:p w14:paraId="07DDAC5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8、合同签订后，如乙方擅自中途停止或解除合同，乙方应向甲方双倍返还定金。没有约定定金的，乙方向甲方支付合同总价款30%的违约金。</w:t>
      </w:r>
    </w:p>
    <w:p w14:paraId="3E438E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9、因天气、交通、政府行为、甲方提供的资料不准确等客观原因造成的服务周期拖期，乙方不承担赔偿责任。</w:t>
      </w:r>
    </w:p>
    <w:p w14:paraId="1341C302">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10、服务实施过程中，乙方未按投标文件约定配备服务人员或乙方派驻服务力量无法胜任项目实施要求的，甲方有权提出增加人员和充实技术力量，乙方应立即安排实施，其费用被认为已含在合同价格之中。如乙方拒绝增加人员或充实技术力量，甲方有权利解除合同，乙方应承担由此给甲方造成的经济损失。</w:t>
      </w:r>
    </w:p>
    <w:p w14:paraId="0B3B485C">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11、乙方有责任按甲方要求提交项目资料。如乙方未能按规定的服务周期提供服务，每延误一天，应付合同总价款1%的逾期违约金，（但由于受天气等不可抗力的自然因素影响，则工期顺延）；逾期10天以上的，甲方除有权终止履行合同外，乙方应承担因延期造成的损失。同时，甲方有权根据乙方所承担服务的质量是否符合要求而对服务的内容进行调整。</w:t>
      </w:r>
    </w:p>
    <w:p w14:paraId="4DF9527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12、乙方提供的服务质量不合格的，乙方应当无偿采取补救措施以达到质量要求。因服务最终达不到合同要求造成损害后果时，乙方应当承担赔偿损失等的法律责任，但该损害后果是由甲方提供材料不实等甲方自己原因导致的除外。</w:t>
      </w:r>
    </w:p>
    <w:p w14:paraId="53BEB478">
      <w:pPr>
        <w:pStyle w:val="2"/>
        <w:keepNext w:val="0"/>
        <w:keepLines w:val="0"/>
        <w:pageBreakBefore w:val="0"/>
        <w:widowControl/>
        <w:kinsoku w:val="0"/>
        <w:wordWrap/>
        <w:overflowPunct/>
        <w:topLinePunct w:val="0"/>
        <w:autoSpaceDE w:val="0"/>
        <w:autoSpaceDN w:val="0"/>
        <w:bidi w:val="0"/>
        <w:adjustRightInd w:val="0"/>
        <w:snapToGrid w:val="0"/>
        <w:spacing w:before="213" w:after="157" w:afterLines="50" w:line="360" w:lineRule="auto"/>
        <w:ind w:left="471"/>
        <w:textAlignment w:val="baseline"/>
        <w:rPr>
          <w:b/>
          <w:bCs/>
          <w:color w:val="auto"/>
          <w:spacing w:val="-7"/>
          <w:sz w:val="24"/>
          <w:szCs w:val="24"/>
        </w:rPr>
      </w:pPr>
      <w:r>
        <w:rPr>
          <w:rFonts w:hint="eastAsia"/>
          <w:b/>
          <w:bCs/>
          <w:color w:val="auto"/>
          <w:spacing w:val="-7"/>
          <w:sz w:val="24"/>
          <w:szCs w:val="24"/>
          <w:lang w:val="en-US" w:eastAsia="zh-CN"/>
        </w:rPr>
        <w:t>六</w:t>
      </w:r>
      <w:r>
        <w:rPr>
          <w:b/>
          <w:bCs/>
          <w:color w:val="auto"/>
          <w:spacing w:val="-7"/>
          <w:sz w:val="24"/>
          <w:szCs w:val="24"/>
        </w:rPr>
        <w:t>、质量保证</w:t>
      </w:r>
    </w:p>
    <w:p w14:paraId="43510E5A">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1.乙方提供的服务必须保证质量可靠，手续齐全，应全面满足招标文件的要求。所供服务质量应严格按国家最新发布的规范标准执行，如发生质量问题由乙方承担全部责任。</w:t>
      </w:r>
    </w:p>
    <w:p w14:paraId="3CAE4BB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2.服务期内服务内容等指标与合同有任何一项不符，甲方可以以书面形式向乙方提出异议并要求赔偿。同时应向政府采购管理部门报告。</w:t>
      </w:r>
    </w:p>
    <w:p w14:paraId="1542201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3.乙方在收到甲方的通知后，应及时免费对服务内容及实施效果的不足或偏差进行补正，并保证达到合同规定应该提供的质量标准。</w:t>
      </w:r>
    </w:p>
    <w:p w14:paraId="73DD82C9">
      <w:pPr>
        <w:pStyle w:val="2"/>
        <w:keepNext w:val="0"/>
        <w:keepLines w:val="0"/>
        <w:pageBreakBefore w:val="0"/>
        <w:widowControl/>
        <w:kinsoku w:val="0"/>
        <w:wordWrap/>
        <w:overflowPunct/>
        <w:topLinePunct w:val="0"/>
        <w:autoSpaceDE w:val="0"/>
        <w:autoSpaceDN w:val="0"/>
        <w:bidi w:val="0"/>
        <w:adjustRightInd w:val="0"/>
        <w:snapToGrid w:val="0"/>
        <w:spacing w:before="213" w:after="157" w:afterLines="50" w:line="360" w:lineRule="auto"/>
        <w:ind w:left="471"/>
        <w:textAlignment w:val="baseline"/>
        <w:rPr>
          <w:color w:val="auto"/>
          <w:sz w:val="24"/>
          <w:szCs w:val="24"/>
        </w:rPr>
      </w:pPr>
      <w:r>
        <w:rPr>
          <w:rFonts w:hint="eastAsia"/>
          <w:b/>
          <w:bCs/>
          <w:color w:val="auto"/>
          <w:spacing w:val="-7"/>
          <w:sz w:val="24"/>
          <w:szCs w:val="24"/>
          <w:lang w:val="en-US" w:eastAsia="zh-CN"/>
        </w:rPr>
        <w:t>七</w:t>
      </w:r>
      <w:r>
        <w:rPr>
          <w:b/>
          <w:bCs/>
          <w:color w:val="auto"/>
          <w:spacing w:val="-7"/>
          <w:sz w:val="24"/>
          <w:szCs w:val="24"/>
        </w:rPr>
        <w:t>、质量验收标准或规范</w:t>
      </w:r>
    </w:p>
    <w:p w14:paraId="7155E920">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1.中标供应商按照项目需求完成项目后，由采购人成立验收小组组织验收。</w:t>
      </w:r>
    </w:p>
    <w:p w14:paraId="7568E87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2.质量标准：短信发送成功率≥90%；短信发送成功率计算办法：短信发送成功</w:t>
      </w:r>
    </w:p>
    <w:p w14:paraId="324B2835">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条数/短信发送条数。</w:t>
      </w:r>
    </w:p>
    <w:p w14:paraId="79BC16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3.验收依据：</w:t>
      </w:r>
    </w:p>
    <w:p w14:paraId="6393F92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（1）合同文本及合同补充文件（条款）；</w:t>
      </w:r>
    </w:p>
    <w:p w14:paraId="3791808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（2）产品的合法来源渠道证明文件、相应的功能证明材料；</w:t>
      </w:r>
    </w:p>
    <w:p w14:paraId="33533D9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（3）招标文件；</w:t>
      </w:r>
    </w:p>
    <w:p w14:paraId="33A9194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（4）中标人的投标文件；</w:t>
      </w:r>
    </w:p>
    <w:p w14:paraId="6207CBC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（5）短信发送清单明细；</w:t>
      </w:r>
    </w:p>
    <w:p w14:paraId="49C7EAD0">
      <w:pPr>
        <w:pStyle w:val="2"/>
        <w:keepNext w:val="0"/>
        <w:keepLines w:val="0"/>
        <w:pageBreakBefore w:val="0"/>
        <w:widowControl/>
        <w:kinsoku w:val="0"/>
        <w:wordWrap/>
        <w:overflowPunct/>
        <w:topLinePunct w:val="0"/>
        <w:autoSpaceDE w:val="0"/>
        <w:autoSpaceDN w:val="0"/>
        <w:bidi w:val="0"/>
        <w:adjustRightInd w:val="0"/>
        <w:snapToGrid w:val="0"/>
        <w:spacing w:before="213" w:after="157" w:afterLines="50" w:line="360" w:lineRule="auto"/>
        <w:ind w:left="471"/>
        <w:textAlignment w:val="baseline"/>
        <w:rPr>
          <w:b/>
          <w:bCs/>
          <w:color w:val="auto"/>
          <w:spacing w:val="-7"/>
          <w:sz w:val="24"/>
          <w:szCs w:val="24"/>
        </w:rPr>
      </w:pPr>
      <w:r>
        <w:rPr>
          <w:rFonts w:hint="eastAsia"/>
          <w:b/>
          <w:bCs/>
          <w:color w:val="auto"/>
          <w:spacing w:val="-7"/>
          <w:sz w:val="24"/>
          <w:szCs w:val="24"/>
          <w:lang w:val="en-US" w:eastAsia="zh-CN"/>
        </w:rPr>
        <w:t>八</w:t>
      </w:r>
      <w:r>
        <w:rPr>
          <w:b/>
          <w:bCs/>
          <w:color w:val="auto"/>
          <w:spacing w:val="-7"/>
          <w:sz w:val="24"/>
          <w:szCs w:val="24"/>
        </w:rPr>
        <w:t>、违约责任</w:t>
      </w:r>
    </w:p>
    <w:p w14:paraId="045836C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1.如乙方迟延履行，以每天逾期扣除项目总价款千分之五为标准，按延期天数在合同总价款中扣除相应的违约金；但违约金累计不超过逾期交付项目款总额的20%。</w:t>
      </w:r>
    </w:p>
    <w:p w14:paraId="0C83B3CF">
      <w:pPr>
        <w:pStyle w:val="2"/>
        <w:keepNext w:val="0"/>
        <w:keepLines w:val="0"/>
        <w:pageBreakBefore w:val="0"/>
        <w:widowControl/>
        <w:tabs>
          <w:tab w:val="left" w:pos="8200"/>
        </w:tabs>
        <w:kinsoku w:val="0"/>
        <w:wordWrap/>
        <w:overflowPunct/>
        <w:topLinePunct w:val="0"/>
        <w:autoSpaceDE w:val="0"/>
        <w:autoSpaceDN w:val="0"/>
        <w:bidi w:val="0"/>
        <w:adjustRightInd w:val="0"/>
        <w:snapToGrid w:val="0"/>
        <w:spacing w:line="360" w:lineRule="auto"/>
        <w:ind w:right="106" w:rightChars="0" w:firstLine="719"/>
        <w:textAlignment w:val="baseline"/>
        <w:rPr>
          <w:color w:val="auto"/>
          <w:spacing w:val="-3"/>
          <w:sz w:val="24"/>
          <w:szCs w:val="24"/>
        </w:rPr>
      </w:pPr>
      <w:r>
        <w:rPr>
          <w:color w:val="auto"/>
          <w:spacing w:val="-3"/>
          <w:sz w:val="24"/>
          <w:szCs w:val="24"/>
        </w:rPr>
        <w:t>2.短信服务中断或平台出现故障，每中断一天扣除合同总金额的5%，当天累计中断8小时以上视为一天。不满8小时的，扣除当天产生的短信资费。</w:t>
      </w:r>
    </w:p>
    <w:p w14:paraId="3774D89F">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3.因乙方原因导致甲方平台迁移不畅的，扣除合同总金额的10%。</w:t>
      </w:r>
    </w:p>
    <w:p w14:paraId="1A9FBAB6">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4.短信发送延时过高（超时3分钟及以上），扣除该条短信资费；若严重影响甲方业务，或导致甲方收到投诉的，扣除当天产生的短信资费。</w:t>
      </w:r>
    </w:p>
    <w:p w14:paraId="526E6A8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5.若因上级行政命令或不可抗力导致项目不能继续执行的，乙方应继续提供服务至最后一次支付节点支付金额使用完毕为止。</w:t>
      </w:r>
    </w:p>
    <w:p w14:paraId="596842C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6.按《中华人民共和国民法典》中的相关条款执行。</w:t>
      </w:r>
    </w:p>
    <w:p w14:paraId="18138B21">
      <w:pPr>
        <w:pStyle w:val="2"/>
        <w:keepNext w:val="0"/>
        <w:keepLines w:val="0"/>
        <w:pageBreakBefore w:val="0"/>
        <w:widowControl/>
        <w:kinsoku w:val="0"/>
        <w:wordWrap/>
        <w:overflowPunct/>
        <w:topLinePunct w:val="0"/>
        <w:autoSpaceDE w:val="0"/>
        <w:autoSpaceDN w:val="0"/>
        <w:bidi w:val="0"/>
        <w:adjustRightInd w:val="0"/>
        <w:snapToGrid w:val="0"/>
        <w:spacing w:before="212" w:after="157" w:afterLines="50" w:line="360" w:lineRule="auto"/>
        <w:ind w:left="476"/>
        <w:textAlignment w:val="baseline"/>
        <w:rPr>
          <w:color w:val="auto"/>
          <w:sz w:val="24"/>
          <w:szCs w:val="24"/>
        </w:rPr>
      </w:pPr>
      <w:r>
        <w:rPr>
          <w:rFonts w:hint="eastAsia"/>
          <w:b/>
          <w:bCs/>
          <w:color w:val="auto"/>
          <w:spacing w:val="-9"/>
          <w:sz w:val="24"/>
          <w:szCs w:val="24"/>
          <w:lang w:val="en-US" w:eastAsia="zh-CN"/>
        </w:rPr>
        <w:t>九</w:t>
      </w:r>
      <w:r>
        <w:rPr>
          <w:b/>
          <w:bCs/>
          <w:color w:val="auto"/>
          <w:spacing w:val="-9"/>
          <w:sz w:val="24"/>
          <w:szCs w:val="24"/>
        </w:rPr>
        <w:t>、不可抗力</w:t>
      </w:r>
    </w:p>
    <w:p w14:paraId="0000FB8D">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如果任何一方当事人受到不能预见、不能避免且不能克服的不可抗力事件的影响，例如战争、严重的火灾、台风、地震、洪水等情形，而无法履行合同项下的任何义务，则受影响的一方当事人应立即将此类事件的发生通知另一方当事人，并应在不可抗力事件发生后30日内将有关当局或机构出具的证明文件提交给另一方当事人。</w:t>
      </w:r>
    </w:p>
    <w:p w14:paraId="78BF5B3A">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受不可抗力事件影响的一方当事人对于不可抗力事件导致的任何合同义务的延迟履行或不能履行不承担违约责任。但该方当事人应尽快将不可抗力事件结束或消除的情况通知另一方当事人。一方迟延履行本合同义务后，发生不可抗力的，不能免除迟延履行一方的法律责任。</w:t>
      </w:r>
    </w:p>
    <w:p w14:paraId="23B25FC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3.双方当事人应在不可抗力事件结束或其影响消除后立即继续履行其合同义务，合同期限也应相应顺延。</w:t>
      </w:r>
    </w:p>
    <w:p w14:paraId="5BBB5DFA">
      <w:pPr>
        <w:pStyle w:val="2"/>
        <w:keepNext w:val="0"/>
        <w:keepLines w:val="0"/>
        <w:pageBreakBefore w:val="0"/>
        <w:widowControl/>
        <w:kinsoku w:val="0"/>
        <w:wordWrap/>
        <w:overflowPunct/>
        <w:topLinePunct w:val="0"/>
        <w:autoSpaceDE w:val="0"/>
        <w:autoSpaceDN w:val="0"/>
        <w:bidi w:val="0"/>
        <w:adjustRightInd w:val="0"/>
        <w:snapToGrid w:val="0"/>
        <w:spacing w:before="212" w:after="157" w:afterLines="50" w:line="360" w:lineRule="auto"/>
        <w:ind w:left="476"/>
        <w:textAlignment w:val="baseline"/>
        <w:rPr>
          <w:rFonts w:hint="eastAsia"/>
          <w:b/>
          <w:bCs/>
          <w:color w:val="auto"/>
          <w:spacing w:val="-9"/>
          <w:sz w:val="24"/>
          <w:szCs w:val="24"/>
          <w:lang w:val="en-US" w:eastAsia="zh-CN"/>
        </w:rPr>
      </w:pPr>
      <w:r>
        <w:rPr>
          <w:rFonts w:hint="eastAsia"/>
          <w:b/>
          <w:bCs/>
          <w:color w:val="auto"/>
          <w:spacing w:val="-9"/>
          <w:sz w:val="24"/>
          <w:szCs w:val="24"/>
          <w:lang w:val="en-US" w:eastAsia="zh-CN"/>
        </w:rPr>
        <w:t>十、合同的解除</w:t>
      </w:r>
    </w:p>
    <w:p w14:paraId="1E499D14">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1.有下述情形之一，非过错方可发出书面通知全部或部分地解除合同，合同自通知到达对方时全部或部分地解除：</w:t>
      </w:r>
    </w:p>
    <w:p w14:paraId="59C755B9">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（1）乙方提供的服务内容不符合招标文件规定或不合格的或本项目不能通过验收的；</w:t>
      </w:r>
    </w:p>
    <w:p w14:paraId="4323E42B">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（2）因乙方原因造成甲方业务服务中断时长超过一周或因服务中断造成舆情影响甲方名誉及公信力的情况时；</w:t>
      </w:r>
    </w:p>
    <w:p w14:paraId="4054960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（3）合同一方当事人未能履行合同项下任何其它义务（细微义务除外），或在未事先征得另一方当事人同意的情况下，从事任何可能在实质上不利影响其履行合同能力的活动，经另一方当事人书面通知后</w:t>
      </w:r>
      <w:r>
        <w:rPr>
          <w:color w:val="auto"/>
          <w:spacing w:val="-3"/>
          <w:sz w:val="24"/>
          <w:szCs w:val="24"/>
          <w:u w:val="single"/>
        </w:rPr>
        <w:t xml:space="preserve">  15   </w:t>
      </w:r>
      <w:r>
        <w:rPr>
          <w:color w:val="auto"/>
          <w:spacing w:val="-3"/>
          <w:sz w:val="24"/>
          <w:szCs w:val="24"/>
        </w:rPr>
        <w:t>日内未能对其行为作出补救；</w:t>
      </w:r>
    </w:p>
    <w:p w14:paraId="039539A7">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（4）合同一方当事人出现破产、清算、资不抵债、成为失信被执行人等可能丧失履约能力的情形，且未能提供令对方满意的履约保证金。</w:t>
      </w:r>
    </w:p>
    <w:p w14:paraId="3F7E7E5A">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（5）乙方提供的服务内容存在争议或纠纷的。</w:t>
      </w:r>
    </w:p>
    <w:p w14:paraId="75DF4FFE">
      <w:pPr>
        <w:pStyle w:val="2"/>
        <w:keepNext w:val="0"/>
        <w:keepLines w:val="0"/>
        <w:pageBreakBefore w:val="0"/>
        <w:widowControl/>
        <w:kinsoku w:val="0"/>
        <w:wordWrap/>
        <w:overflowPunct/>
        <w:topLinePunct w:val="0"/>
        <w:autoSpaceDE w:val="0"/>
        <w:autoSpaceDN w:val="0"/>
        <w:bidi w:val="0"/>
        <w:adjustRightInd w:val="0"/>
        <w:snapToGrid w:val="0"/>
        <w:spacing w:line="360" w:lineRule="auto"/>
        <w:ind w:right="251" w:firstLine="719"/>
        <w:textAlignment w:val="baseline"/>
        <w:rPr>
          <w:color w:val="auto"/>
          <w:spacing w:val="-3"/>
          <w:sz w:val="24"/>
          <w:szCs w:val="24"/>
        </w:rPr>
      </w:pPr>
      <w:r>
        <w:rPr>
          <w:color w:val="auto"/>
          <w:spacing w:val="-3"/>
          <w:sz w:val="24"/>
          <w:szCs w:val="24"/>
        </w:rPr>
        <w:t>2.在乙方违约的情况下，甲方报告政府采购管理部门后，有权终止合同，并依法向乙方进行索赔实际损失(包括但不限于维权所支出的律师费、诉讼费、交通费等)。</w:t>
      </w:r>
    </w:p>
    <w:p w14:paraId="5E3868B0">
      <w:pPr>
        <w:pStyle w:val="2"/>
        <w:spacing w:before="2" w:line="222" w:lineRule="auto"/>
        <w:ind w:left="477"/>
        <w:rPr>
          <w:color w:val="auto"/>
          <w:sz w:val="24"/>
          <w:szCs w:val="24"/>
        </w:rPr>
      </w:pPr>
      <w:r>
        <w:rPr>
          <w:b/>
          <w:bCs/>
          <w:color w:val="auto"/>
          <w:spacing w:val="-9"/>
          <w:sz w:val="24"/>
          <w:szCs w:val="24"/>
        </w:rPr>
        <w:t>十</w:t>
      </w:r>
      <w:r>
        <w:rPr>
          <w:rFonts w:hint="eastAsia"/>
          <w:b/>
          <w:bCs/>
          <w:color w:val="auto"/>
          <w:spacing w:val="-9"/>
          <w:sz w:val="24"/>
          <w:szCs w:val="24"/>
          <w:lang w:val="en-US" w:eastAsia="zh-CN"/>
        </w:rPr>
        <w:t>一</w:t>
      </w:r>
      <w:r>
        <w:rPr>
          <w:b/>
          <w:bCs/>
          <w:color w:val="auto"/>
          <w:spacing w:val="-9"/>
          <w:sz w:val="24"/>
          <w:szCs w:val="24"/>
        </w:rPr>
        <w:t>、适用法律</w:t>
      </w:r>
    </w:p>
    <w:p w14:paraId="3A6E55A4">
      <w:pPr>
        <w:pStyle w:val="2"/>
        <w:spacing w:before="210" w:line="221" w:lineRule="auto"/>
        <w:ind w:left="471"/>
        <w:rPr>
          <w:color w:val="auto"/>
          <w:sz w:val="24"/>
          <w:szCs w:val="24"/>
        </w:rPr>
      </w:pPr>
      <w:r>
        <w:rPr>
          <w:color w:val="auto"/>
          <w:spacing w:val="-5"/>
          <w:sz w:val="24"/>
          <w:szCs w:val="24"/>
        </w:rPr>
        <w:t>本合同应按照中华人民共和国的现行法律进行解释。</w:t>
      </w:r>
    </w:p>
    <w:p w14:paraId="31216F23">
      <w:pPr>
        <w:pStyle w:val="2"/>
        <w:spacing w:before="211" w:line="222" w:lineRule="auto"/>
        <w:ind w:left="477"/>
        <w:rPr>
          <w:color w:val="auto"/>
          <w:sz w:val="24"/>
          <w:szCs w:val="24"/>
        </w:rPr>
      </w:pPr>
      <w:r>
        <w:rPr>
          <w:b/>
          <w:bCs/>
          <w:color w:val="auto"/>
          <w:spacing w:val="-8"/>
          <w:sz w:val="24"/>
          <w:szCs w:val="24"/>
        </w:rPr>
        <w:t>十</w:t>
      </w:r>
      <w:r>
        <w:rPr>
          <w:rFonts w:hint="eastAsia"/>
          <w:b/>
          <w:bCs/>
          <w:color w:val="auto"/>
          <w:spacing w:val="-8"/>
          <w:sz w:val="24"/>
          <w:szCs w:val="24"/>
          <w:lang w:val="en-US" w:eastAsia="zh-CN"/>
        </w:rPr>
        <w:t>二</w:t>
      </w:r>
      <w:r>
        <w:rPr>
          <w:b/>
          <w:bCs/>
          <w:color w:val="auto"/>
          <w:spacing w:val="-8"/>
          <w:sz w:val="24"/>
          <w:szCs w:val="24"/>
        </w:rPr>
        <w:t>、合同生效及其他</w:t>
      </w:r>
    </w:p>
    <w:p w14:paraId="0F00EE1D">
      <w:pPr>
        <w:pStyle w:val="2"/>
        <w:spacing w:before="214" w:line="219" w:lineRule="auto"/>
        <w:ind w:left="480"/>
        <w:rPr>
          <w:color w:val="auto"/>
          <w:sz w:val="24"/>
          <w:szCs w:val="24"/>
        </w:rPr>
      </w:pPr>
      <w:r>
        <w:rPr>
          <w:color w:val="auto"/>
          <w:spacing w:val="-5"/>
          <w:sz w:val="24"/>
          <w:szCs w:val="24"/>
        </w:rPr>
        <w:t>1.本合同在甲、乙双方签字、盖章之后生效。</w:t>
      </w:r>
    </w:p>
    <w:p w14:paraId="6114E9E9">
      <w:pPr>
        <w:pStyle w:val="2"/>
        <w:spacing w:before="215" w:line="303" w:lineRule="auto"/>
        <w:ind w:left="28" w:right="14" w:firstLine="437"/>
        <w:rPr>
          <w:color w:val="auto"/>
          <w:sz w:val="24"/>
          <w:szCs w:val="24"/>
        </w:rPr>
      </w:pPr>
      <w:r>
        <w:rPr>
          <w:color w:val="auto"/>
          <w:spacing w:val="-4"/>
          <w:sz w:val="24"/>
          <w:szCs w:val="24"/>
        </w:rPr>
        <w:t>2.本合同一式6份，均以中文书写。甲方执4份；</w:t>
      </w:r>
      <w:r>
        <w:rPr>
          <w:color w:val="auto"/>
          <w:spacing w:val="-5"/>
          <w:sz w:val="24"/>
          <w:szCs w:val="24"/>
        </w:rPr>
        <w:t>乙方执1份；见证方执1份；具有</w:t>
      </w:r>
      <w:r>
        <w:rPr>
          <w:color w:val="auto"/>
          <w:spacing w:val="-9"/>
          <w:sz w:val="24"/>
          <w:szCs w:val="24"/>
        </w:rPr>
        <w:t>同等的法律效力。</w:t>
      </w:r>
    </w:p>
    <w:p w14:paraId="0CCAD83F">
      <w:pPr>
        <w:pStyle w:val="2"/>
        <w:spacing w:before="213" w:line="222" w:lineRule="auto"/>
        <w:ind w:left="477"/>
        <w:rPr>
          <w:color w:val="auto"/>
          <w:sz w:val="24"/>
          <w:szCs w:val="24"/>
        </w:rPr>
      </w:pPr>
      <w:r>
        <w:rPr>
          <w:b/>
          <w:bCs/>
          <w:color w:val="auto"/>
          <w:spacing w:val="-9"/>
          <w:sz w:val="24"/>
          <w:szCs w:val="24"/>
        </w:rPr>
        <w:t>十</w:t>
      </w:r>
      <w:r>
        <w:rPr>
          <w:rFonts w:hint="eastAsia"/>
          <w:b/>
          <w:bCs/>
          <w:color w:val="auto"/>
          <w:spacing w:val="-9"/>
          <w:sz w:val="24"/>
          <w:szCs w:val="24"/>
          <w:lang w:val="en-US" w:eastAsia="zh-CN"/>
        </w:rPr>
        <w:t>三</w:t>
      </w:r>
      <w:r>
        <w:rPr>
          <w:b/>
          <w:bCs/>
          <w:color w:val="auto"/>
          <w:spacing w:val="-9"/>
          <w:sz w:val="24"/>
          <w:szCs w:val="24"/>
        </w:rPr>
        <w:t>、合同修改</w:t>
      </w:r>
    </w:p>
    <w:p w14:paraId="4EBF6937">
      <w:pPr>
        <w:pStyle w:val="2"/>
        <w:spacing w:before="208" w:line="386" w:lineRule="auto"/>
        <w:ind w:right="115" w:firstLine="470"/>
        <w:jc w:val="both"/>
        <w:rPr>
          <w:color w:val="auto"/>
          <w:sz w:val="24"/>
          <w:szCs w:val="24"/>
        </w:rPr>
      </w:pPr>
      <w:r>
        <w:rPr>
          <w:color w:val="auto"/>
          <w:spacing w:val="-5"/>
          <w:sz w:val="24"/>
          <w:szCs w:val="24"/>
        </w:rPr>
        <w:t>本合同在执行过程中，如提出修改，须报政府采购管理部门同意后，由甲、乙双方签署书面修改协议，并成为本合同不可分割的一部分。除此之外，本合同的条件不</w:t>
      </w:r>
      <w:r>
        <w:rPr>
          <w:color w:val="auto"/>
          <w:spacing w:val="-6"/>
          <w:sz w:val="24"/>
          <w:szCs w:val="24"/>
        </w:rPr>
        <w:t>得有任何变化或修改。</w:t>
      </w:r>
    </w:p>
    <w:p w14:paraId="28094FCE">
      <w:pPr>
        <w:pStyle w:val="2"/>
        <w:spacing w:before="49" w:line="222" w:lineRule="auto"/>
        <w:ind w:left="606"/>
        <w:rPr>
          <w:color w:val="auto"/>
          <w:sz w:val="24"/>
          <w:szCs w:val="24"/>
        </w:rPr>
      </w:pPr>
      <w:r>
        <w:rPr>
          <w:b/>
          <w:bCs/>
          <w:color w:val="auto"/>
          <w:spacing w:val="-8"/>
          <w:sz w:val="24"/>
          <w:szCs w:val="24"/>
        </w:rPr>
        <w:t>十</w:t>
      </w:r>
      <w:r>
        <w:rPr>
          <w:rFonts w:hint="eastAsia"/>
          <w:b/>
          <w:bCs/>
          <w:color w:val="auto"/>
          <w:spacing w:val="-8"/>
          <w:sz w:val="24"/>
          <w:szCs w:val="24"/>
          <w:lang w:val="en-US" w:eastAsia="zh-CN"/>
        </w:rPr>
        <w:t>四</w:t>
      </w:r>
      <w:r>
        <w:rPr>
          <w:b/>
          <w:bCs/>
          <w:color w:val="auto"/>
          <w:spacing w:val="-8"/>
          <w:sz w:val="24"/>
          <w:szCs w:val="24"/>
        </w:rPr>
        <w:t>、争议解决方式</w:t>
      </w:r>
    </w:p>
    <w:p w14:paraId="539173C3">
      <w:pPr>
        <w:pStyle w:val="2"/>
        <w:spacing w:before="209" w:line="385" w:lineRule="auto"/>
        <w:ind w:left="138" w:firstLine="486"/>
        <w:rPr>
          <w:color w:val="auto"/>
          <w:spacing w:val="-5"/>
          <w:sz w:val="24"/>
          <w:szCs w:val="24"/>
        </w:rPr>
      </w:pPr>
      <w:r>
        <w:rPr>
          <w:color w:val="auto"/>
          <w:spacing w:val="-5"/>
          <w:sz w:val="24"/>
          <w:szCs w:val="24"/>
        </w:rPr>
        <w:t>因执行本合同所发生的或与本合同有关的一切争议,双方应通过</w:t>
      </w:r>
      <w:r>
        <w:rPr>
          <w:color w:val="auto"/>
          <w:spacing w:val="-6"/>
          <w:sz w:val="24"/>
          <w:szCs w:val="24"/>
        </w:rPr>
        <w:t>友好协商解决，协</w:t>
      </w:r>
      <w:r>
        <w:rPr>
          <w:color w:val="auto"/>
          <w:spacing w:val="-5"/>
          <w:sz w:val="24"/>
          <w:szCs w:val="24"/>
        </w:rPr>
        <w:t>商不成的可依法向甲方所在地人民法院起诉。</w:t>
      </w:r>
    </w:p>
    <w:p w14:paraId="341F6A30">
      <w:pPr>
        <w:rPr>
          <w:color w:val="auto"/>
          <w:spacing w:val="-5"/>
          <w:sz w:val="24"/>
          <w:szCs w:val="24"/>
        </w:rPr>
      </w:pPr>
      <w:r>
        <w:rPr>
          <w:color w:val="auto"/>
          <w:spacing w:val="-5"/>
          <w:sz w:val="24"/>
          <w:szCs w:val="24"/>
        </w:rPr>
        <w:br w:type="page"/>
      </w:r>
    </w:p>
    <w:p w14:paraId="3FACB016">
      <w:pPr>
        <w:pStyle w:val="2"/>
        <w:spacing w:before="209" w:line="385" w:lineRule="auto"/>
        <w:ind w:left="138" w:firstLine="486"/>
        <w:rPr>
          <w:color w:val="auto"/>
          <w:spacing w:val="-5"/>
          <w:sz w:val="24"/>
          <w:szCs w:val="24"/>
        </w:rPr>
      </w:pPr>
    </w:p>
    <w:p w14:paraId="617E08C3">
      <w:pPr>
        <w:pStyle w:val="2"/>
        <w:numPr>
          <w:ilvl w:val="0"/>
          <w:numId w:val="1"/>
        </w:numPr>
        <w:spacing w:line="222" w:lineRule="auto"/>
        <w:ind w:left="599"/>
        <w:rPr>
          <w:b/>
          <w:bCs/>
          <w:color w:val="auto"/>
          <w:spacing w:val="-7"/>
          <w:sz w:val="24"/>
          <w:szCs w:val="24"/>
        </w:rPr>
      </w:pPr>
      <w:r>
        <w:rPr>
          <w:b/>
          <w:bCs/>
          <w:color w:val="auto"/>
          <w:spacing w:val="-7"/>
          <w:sz w:val="24"/>
          <w:szCs w:val="24"/>
        </w:rPr>
        <w:t>签章页，以下无本合同正文内容</w:t>
      </w:r>
    </w:p>
    <w:p w14:paraId="34450F68">
      <w:pPr>
        <w:pStyle w:val="2"/>
        <w:numPr>
          <w:ilvl w:val="0"/>
          <w:numId w:val="0"/>
        </w:numPr>
        <w:kinsoku w:val="0"/>
        <w:autoSpaceDE w:val="0"/>
        <w:autoSpaceDN w:val="0"/>
        <w:adjustRightInd w:val="0"/>
        <w:snapToGrid w:val="0"/>
        <w:spacing w:line="222" w:lineRule="auto"/>
        <w:jc w:val="left"/>
        <w:textAlignment w:val="baseline"/>
        <w:rPr>
          <w:b/>
          <w:bCs/>
          <w:color w:val="auto"/>
          <w:spacing w:val="-7"/>
          <w:sz w:val="24"/>
          <w:szCs w:val="24"/>
        </w:rPr>
      </w:pPr>
    </w:p>
    <w:p w14:paraId="54DC8F8A">
      <w:pPr>
        <w:spacing w:line="16" w:lineRule="exact"/>
        <w:rPr>
          <w:color w:val="auto"/>
        </w:rPr>
      </w:pPr>
    </w:p>
    <w:tbl>
      <w:tblPr>
        <w:tblStyle w:val="7"/>
        <w:tblW w:w="872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4640"/>
        <w:gridCol w:w="4089"/>
      </w:tblGrid>
      <w:tr w14:paraId="52172DD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9" w:hRule="atLeast"/>
        </w:trPr>
        <w:tc>
          <w:tcPr>
            <w:tcW w:w="4640" w:type="dxa"/>
            <w:vAlign w:val="top"/>
          </w:tcPr>
          <w:p w14:paraId="47678E56">
            <w:pPr>
              <w:pStyle w:val="6"/>
              <w:spacing w:before="208" w:line="222" w:lineRule="auto"/>
              <w:ind w:left="2016"/>
              <w:rPr>
                <w:color w:val="auto"/>
              </w:rPr>
            </w:pPr>
            <w:r>
              <w:rPr>
                <w:color w:val="auto"/>
                <w:spacing w:val="-24"/>
              </w:rPr>
              <w:t>甲</w:t>
            </w:r>
            <w:r>
              <w:rPr>
                <w:color w:val="auto"/>
                <w:spacing w:val="4"/>
              </w:rPr>
              <w:t xml:space="preserve">  </w:t>
            </w:r>
            <w:r>
              <w:rPr>
                <w:color w:val="auto"/>
                <w:spacing w:val="-24"/>
              </w:rPr>
              <w:t>方</w:t>
            </w:r>
          </w:p>
        </w:tc>
        <w:tc>
          <w:tcPr>
            <w:tcW w:w="4089" w:type="dxa"/>
            <w:vAlign w:val="top"/>
          </w:tcPr>
          <w:p w14:paraId="20B8DD0F">
            <w:pPr>
              <w:pStyle w:val="6"/>
              <w:spacing w:before="208" w:line="224" w:lineRule="auto"/>
              <w:ind w:left="1724"/>
              <w:rPr>
                <w:color w:val="auto"/>
              </w:rPr>
            </w:pPr>
            <w:r>
              <w:rPr>
                <w:color w:val="auto"/>
                <w:spacing w:val="-17"/>
              </w:rPr>
              <w:t>乙</w:t>
            </w:r>
            <w:r>
              <w:rPr>
                <w:color w:val="auto"/>
                <w:spacing w:val="3"/>
              </w:rPr>
              <w:t xml:space="preserve">  </w:t>
            </w:r>
            <w:r>
              <w:rPr>
                <w:color w:val="auto"/>
                <w:spacing w:val="-17"/>
              </w:rPr>
              <w:t>方</w:t>
            </w:r>
          </w:p>
        </w:tc>
      </w:tr>
      <w:tr w14:paraId="6C7AAF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41" w:hRule="atLeast"/>
        </w:trPr>
        <w:tc>
          <w:tcPr>
            <w:tcW w:w="4640" w:type="dxa"/>
            <w:vAlign w:val="top"/>
          </w:tcPr>
          <w:p w14:paraId="1CB76AC8">
            <w:pPr>
              <w:spacing w:line="476" w:lineRule="auto"/>
              <w:rPr>
                <w:rFonts w:ascii="Arial"/>
                <w:color w:val="auto"/>
                <w:sz w:val="21"/>
              </w:rPr>
            </w:pPr>
          </w:p>
          <w:p w14:paraId="11958C82">
            <w:pPr>
              <w:pStyle w:val="6"/>
              <w:spacing w:before="78" w:line="222" w:lineRule="auto"/>
              <w:ind w:left="1869"/>
              <w:rPr>
                <w:color w:val="auto"/>
              </w:rPr>
            </w:pPr>
            <w:r>
              <w:rPr>
                <w:color w:val="auto"/>
                <w:spacing w:val="-8"/>
              </w:rPr>
              <w:t>（公章）</w:t>
            </w:r>
          </w:p>
        </w:tc>
        <w:tc>
          <w:tcPr>
            <w:tcW w:w="4089" w:type="dxa"/>
            <w:vAlign w:val="top"/>
          </w:tcPr>
          <w:p w14:paraId="2D846A69">
            <w:pPr>
              <w:spacing w:line="357" w:lineRule="auto"/>
              <w:rPr>
                <w:rFonts w:ascii="Arial"/>
                <w:color w:val="auto"/>
                <w:sz w:val="21"/>
              </w:rPr>
            </w:pPr>
          </w:p>
          <w:p w14:paraId="1FB2CB26">
            <w:pPr>
              <w:spacing w:line="358" w:lineRule="auto"/>
              <w:rPr>
                <w:rFonts w:ascii="Arial"/>
                <w:color w:val="auto"/>
                <w:sz w:val="21"/>
              </w:rPr>
            </w:pPr>
          </w:p>
          <w:p w14:paraId="4E26B74A">
            <w:pPr>
              <w:pStyle w:val="6"/>
              <w:spacing w:before="78" w:line="222" w:lineRule="auto"/>
              <w:ind w:left="1592"/>
              <w:rPr>
                <w:color w:val="auto"/>
              </w:rPr>
            </w:pPr>
            <w:r>
              <w:rPr>
                <w:color w:val="auto"/>
                <w:spacing w:val="-8"/>
              </w:rPr>
              <w:t>（公章）</w:t>
            </w:r>
          </w:p>
        </w:tc>
      </w:tr>
      <w:tr w14:paraId="115A49C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1" w:hRule="atLeast"/>
        </w:trPr>
        <w:tc>
          <w:tcPr>
            <w:tcW w:w="4640" w:type="dxa"/>
            <w:vAlign w:val="top"/>
          </w:tcPr>
          <w:p w14:paraId="0BB6E4FF">
            <w:pPr>
              <w:pStyle w:val="6"/>
              <w:spacing w:before="179" w:line="232" w:lineRule="auto"/>
              <w:ind w:left="125"/>
              <w:rPr>
                <w:color w:val="auto"/>
              </w:rPr>
            </w:pPr>
            <w:r>
              <w:rPr>
                <w:color w:val="auto"/>
                <w:spacing w:val="-8"/>
              </w:rPr>
              <w:t>地址：</w:t>
            </w:r>
          </w:p>
        </w:tc>
        <w:tc>
          <w:tcPr>
            <w:tcW w:w="4089" w:type="dxa"/>
            <w:vAlign w:val="top"/>
          </w:tcPr>
          <w:p w14:paraId="7D0B521C">
            <w:pPr>
              <w:pStyle w:val="6"/>
              <w:spacing w:before="179" w:line="232" w:lineRule="auto"/>
              <w:ind w:left="122"/>
              <w:rPr>
                <w:color w:val="auto"/>
              </w:rPr>
            </w:pPr>
            <w:r>
              <w:rPr>
                <w:color w:val="auto"/>
                <w:spacing w:val="-8"/>
              </w:rPr>
              <w:t>地址：</w:t>
            </w:r>
          </w:p>
        </w:tc>
      </w:tr>
      <w:tr w14:paraId="140537A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4640" w:type="dxa"/>
            <w:vAlign w:val="top"/>
          </w:tcPr>
          <w:p w14:paraId="7B850FD5">
            <w:pPr>
              <w:spacing w:line="260" w:lineRule="auto"/>
              <w:rPr>
                <w:rFonts w:ascii="Arial"/>
                <w:color w:val="auto"/>
                <w:sz w:val="21"/>
              </w:rPr>
            </w:pPr>
          </w:p>
          <w:p w14:paraId="29C00C8D">
            <w:pPr>
              <w:pStyle w:val="6"/>
              <w:spacing w:before="78" w:line="222" w:lineRule="auto"/>
              <w:ind w:left="142"/>
              <w:rPr>
                <w:color w:val="auto"/>
              </w:rPr>
            </w:pPr>
            <w:r>
              <w:rPr>
                <w:color w:val="auto"/>
                <w:spacing w:val="-13"/>
              </w:rPr>
              <w:t>邮编：</w:t>
            </w:r>
          </w:p>
        </w:tc>
        <w:tc>
          <w:tcPr>
            <w:tcW w:w="4089" w:type="dxa"/>
            <w:vAlign w:val="top"/>
          </w:tcPr>
          <w:p w14:paraId="6176AD05">
            <w:pPr>
              <w:spacing w:line="260" w:lineRule="auto"/>
              <w:rPr>
                <w:rFonts w:ascii="Arial"/>
                <w:color w:val="auto"/>
                <w:sz w:val="21"/>
              </w:rPr>
            </w:pPr>
          </w:p>
          <w:p w14:paraId="341AFBFC">
            <w:pPr>
              <w:pStyle w:val="6"/>
              <w:spacing w:before="78" w:line="222" w:lineRule="auto"/>
              <w:ind w:left="139"/>
              <w:rPr>
                <w:color w:val="auto"/>
              </w:rPr>
            </w:pPr>
            <w:r>
              <w:rPr>
                <w:color w:val="auto"/>
                <w:spacing w:val="-13"/>
              </w:rPr>
              <w:t>邮编：</w:t>
            </w:r>
          </w:p>
        </w:tc>
      </w:tr>
      <w:tr w14:paraId="0488C02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23" w:hRule="atLeast"/>
        </w:trPr>
        <w:tc>
          <w:tcPr>
            <w:tcW w:w="4640" w:type="dxa"/>
            <w:vAlign w:val="top"/>
          </w:tcPr>
          <w:p w14:paraId="4F9FF9C8">
            <w:pPr>
              <w:pStyle w:val="6"/>
              <w:spacing w:before="181" w:line="223" w:lineRule="auto"/>
              <w:ind w:left="132"/>
              <w:rPr>
                <w:color w:val="auto"/>
              </w:rPr>
            </w:pPr>
            <w:r>
              <w:rPr>
                <w:color w:val="auto"/>
                <w:spacing w:val="-6"/>
              </w:rPr>
              <w:t>法定代表人或委托代理人：</w:t>
            </w:r>
          </w:p>
        </w:tc>
        <w:tc>
          <w:tcPr>
            <w:tcW w:w="4089" w:type="dxa"/>
            <w:vAlign w:val="top"/>
          </w:tcPr>
          <w:p w14:paraId="24495CA6">
            <w:pPr>
              <w:pStyle w:val="6"/>
              <w:spacing w:before="181" w:line="223" w:lineRule="auto"/>
              <w:ind w:left="128"/>
              <w:rPr>
                <w:color w:val="auto"/>
              </w:rPr>
            </w:pPr>
            <w:r>
              <w:rPr>
                <w:color w:val="auto"/>
                <w:spacing w:val="-7"/>
              </w:rPr>
              <w:t>法定代表人：</w:t>
            </w:r>
          </w:p>
        </w:tc>
      </w:tr>
      <w:tr w14:paraId="2A0DAE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8" w:hRule="atLeast"/>
        </w:trPr>
        <w:tc>
          <w:tcPr>
            <w:tcW w:w="4640" w:type="dxa"/>
            <w:vAlign w:val="top"/>
          </w:tcPr>
          <w:p w14:paraId="3C836B2A">
            <w:pPr>
              <w:pStyle w:val="6"/>
              <w:spacing w:before="181" w:line="224" w:lineRule="auto"/>
              <w:ind w:left="125"/>
              <w:rPr>
                <w:color w:val="auto"/>
              </w:rPr>
            </w:pPr>
            <w:bookmarkStart w:id="0" w:name="_GoBack"/>
            <w:bookmarkEnd w:id="0"/>
          </w:p>
        </w:tc>
        <w:tc>
          <w:tcPr>
            <w:tcW w:w="4089" w:type="dxa"/>
            <w:vAlign w:val="top"/>
          </w:tcPr>
          <w:p w14:paraId="729D9DDF">
            <w:pPr>
              <w:pStyle w:val="6"/>
              <w:spacing w:before="181" w:line="224" w:lineRule="auto"/>
              <w:ind w:left="127"/>
              <w:rPr>
                <w:color w:val="auto"/>
              </w:rPr>
            </w:pPr>
            <w:r>
              <w:rPr>
                <w:color w:val="auto"/>
                <w:spacing w:val="-8"/>
              </w:rPr>
              <w:t>负责人：</w:t>
            </w:r>
          </w:p>
        </w:tc>
      </w:tr>
      <w:tr w14:paraId="6D4166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3" w:hRule="atLeast"/>
        </w:trPr>
        <w:tc>
          <w:tcPr>
            <w:tcW w:w="4640" w:type="dxa"/>
            <w:vAlign w:val="top"/>
          </w:tcPr>
          <w:p w14:paraId="776F25EF">
            <w:pPr>
              <w:pStyle w:val="6"/>
              <w:spacing w:before="182" w:line="224" w:lineRule="auto"/>
              <w:ind w:left="124"/>
              <w:rPr>
                <w:color w:val="auto"/>
              </w:rPr>
            </w:pPr>
            <w:r>
              <w:rPr>
                <w:color w:val="auto"/>
                <w:spacing w:val="-16"/>
              </w:rPr>
              <w:t>电话：</w:t>
            </w:r>
          </w:p>
        </w:tc>
        <w:tc>
          <w:tcPr>
            <w:tcW w:w="4089" w:type="dxa"/>
            <w:vAlign w:val="top"/>
          </w:tcPr>
          <w:p w14:paraId="19932191">
            <w:pPr>
              <w:pStyle w:val="6"/>
              <w:spacing w:before="181" w:line="223" w:lineRule="auto"/>
              <w:ind w:left="147"/>
              <w:rPr>
                <w:color w:val="auto"/>
              </w:rPr>
            </w:pPr>
            <w:r>
              <w:rPr>
                <w:color w:val="auto"/>
                <w:spacing w:val="-16"/>
              </w:rPr>
              <w:t>电话：</w:t>
            </w:r>
          </w:p>
        </w:tc>
      </w:tr>
      <w:tr w14:paraId="5FEC83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86" w:hRule="atLeast"/>
        </w:trPr>
        <w:tc>
          <w:tcPr>
            <w:tcW w:w="4640" w:type="dxa"/>
            <w:vAlign w:val="top"/>
          </w:tcPr>
          <w:p w14:paraId="0BC5BF5B">
            <w:pPr>
              <w:pStyle w:val="6"/>
              <w:spacing w:before="183" w:line="223" w:lineRule="auto"/>
              <w:ind w:left="150"/>
              <w:rPr>
                <w:color w:val="auto"/>
              </w:rPr>
            </w:pPr>
          </w:p>
        </w:tc>
        <w:tc>
          <w:tcPr>
            <w:tcW w:w="4089" w:type="dxa"/>
            <w:vAlign w:val="top"/>
          </w:tcPr>
          <w:p w14:paraId="757DB0A3">
            <w:pPr>
              <w:pStyle w:val="6"/>
              <w:spacing w:before="183" w:line="221" w:lineRule="auto"/>
              <w:ind w:left="121"/>
              <w:rPr>
                <w:color w:val="auto"/>
              </w:rPr>
            </w:pPr>
            <w:r>
              <w:rPr>
                <w:color w:val="auto"/>
                <w:spacing w:val="-6"/>
              </w:rPr>
              <w:t>开户银行：</w:t>
            </w:r>
          </w:p>
        </w:tc>
      </w:tr>
      <w:tr w14:paraId="35C62B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85" w:hRule="atLeast"/>
        </w:trPr>
        <w:tc>
          <w:tcPr>
            <w:tcW w:w="4640" w:type="dxa"/>
            <w:vAlign w:val="top"/>
          </w:tcPr>
          <w:p w14:paraId="5CF87726">
            <w:pPr>
              <w:rPr>
                <w:rFonts w:ascii="Arial"/>
                <w:color w:val="auto"/>
                <w:sz w:val="21"/>
              </w:rPr>
            </w:pPr>
          </w:p>
        </w:tc>
        <w:tc>
          <w:tcPr>
            <w:tcW w:w="4089" w:type="dxa"/>
            <w:vAlign w:val="top"/>
          </w:tcPr>
          <w:p w14:paraId="0CEBE19B">
            <w:pPr>
              <w:pStyle w:val="6"/>
              <w:spacing w:before="182" w:line="224" w:lineRule="auto"/>
              <w:ind w:left="118"/>
              <w:rPr>
                <w:color w:val="auto"/>
              </w:rPr>
            </w:pPr>
            <w:r>
              <w:rPr>
                <w:color w:val="auto"/>
                <w:spacing w:val="-7"/>
              </w:rPr>
              <w:t>账号：</w:t>
            </w:r>
          </w:p>
        </w:tc>
      </w:tr>
      <w:tr w14:paraId="7E0B8D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4" w:hRule="atLeast"/>
        </w:trPr>
        <w:tc>
          <w:tcPr>
            <w:tcW w:w="4640" w:type="dxa"/>
            <w:vAlign w:val="top"/>
          </w:tcPr>
          <w:p w14:paraId="5A95C963">
            <w:pPr>
              <w:pStyle w:val="6"/>
              <w:spacing w:before="215" w:line="222" w:lineRule="auto"/>
              <w:ind w:left="175"/>
              <w:rPr>
                <w:color w:val="auto"/>
              </w:rPr>
            </w:pPr>
            <w:r>
              <w:rPr>
                <w:color w:val="auto"/>
                <w:spacing w:val="-21"/>
              </w:rPr>
              <w:t>日期：</w:t>
            </w:r>
            <w:r>
              <w:rPr>
                <w:color w:val="auto"/>
                <w:spacing w:val="1"/>
              </w:rPr>
              <w:t xml:space="preserve">   </w:t>
            </w:r>
            <w:r>
              <w:rPr>
                <w:color w:val="auto"/>
                <w:spacing w:val="-21"/>
              </w:rPr>
              <w:t>年</w:t>
            </w:r>
            <w:r>
              <w:rPr>
                <w:color w:val="auto"/>
                <w:spacing w:val="4"/>
              </w:rPr>
              <w:t xml:space="preserve">   </w:t>
            </w:r>
            <w:r>
              <w:rPr>
                <w:color w:val="auto"/>
                <w:spacing w:val="-21"/>
              </w:rPr>
              <w:t>月</w:t>
            </w:r>
            <w:r>
              <w:rPr>
                <w:color w:val="auto"/>
                <w:spacing w:val="16"/>
              </w:rPr>
              <w:t xml:space="preserve">   </w:t>
            </w:r>
            <w:r>
              <w:rPr>
                <w:color w:val="auto"/>
                <w:spacing w:val="-21"/>
              </w:rPr>
              <w:t>日</w:t>
            </w:r>
          </w:p>
        </w:tc>
        <w:tc>
          <w:tcPr>
            <w:tcW w:w="4089" w:type="dxa"/>
            <w:vAlign w:val="top"/>
          </w:tcPr>
          <w:p w14:paraId="76CE287E">
            <w:pPr>
              <w:pStyle w:val="6"/>
              <w:spacing w:before="215" w:line="222" w:lineRule="auto"/>
              <w:ind w:left="171"/>
              <w:rPr>
                <w:color w:val="auto"/>
              </w:rPr>
            </w:pPr>
            <w:r>
              <w:rPr>
                <w:color w:val="auto"/>
                <w:spacing w:val="-21"/>
              </w:rPr>
              <w:t>日期：</w:t>
            </w:r>
            <w:r>
              <w:rPr>
                <w:color w:val="auto"/>
                <w:spacing w:val="2"/>
              </w:rPr>
              <w:t xml:space="preserve">   </w:t>
            </w:r>
            <w:r>
              <w:rPr>
                <w:color w:val="auto"/>
                <w:spacing w:val="-21"/>
              </w:rPr>
              <w:t>年</w:t>
            </w:r>
            <w:r>
              <w:rPr>
                <w:color w:val="auto"/>
                <w:spacing w:val="3"/>
              </w:rPr>
              <w:t xml:space="preserve">   </w:t>
            </w:r>
            <w:r>
              <w:rPr>
                <w:color w:val="auto"/>
                <w:spacing w:val="-21"/>
              </w:rPr>
              <w:t>月</w:t>
            </w:r>
            <w:r>
              <w:rPr>
                <w:color w:val="auto"/>
                <w:spacing w:val="17"/>
              </w:rPr>
              <w:t xml:space="preserve">   </w:t>
            </w:r>
            <w:r>
              <w:rPr>
                <w:color w:val="auto"/>
                <w:spacing w:val="-21"/>
              </w:rPr>
              <w:t>日</w:t>
            </w:r>
          </w:p>
        </w:tc>
      </w:tr>
    </w:tbl>
    <w:p w14:paraId="147F19F7">
      <w:pPr>
        <w:rPr>
          <w:color w:val="auto"/>
        </w:rPr>
      </w:pPr>
    </w:p>
    <w:sectPr>
      <w:footerReference r:id="rId6"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AFF796">
    <w:pPr>
      <w:spacing w:line="176" w:lineRule="auto"/>
      <w:ind w:left="438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F9B822">
    <w:pPr>
      <w:spacing w:line="176" w:lineRule="auto"/>
      <w:ind w:left="4693"/>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68C97E"/>
    <w:multiLevelType w:val="singleLevel"/>
    <w:tmpl w:val="B268C97E"/>
    <w:lvl w:ilvl="0" w:tentative="0">
      <w:start w:val="1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110CBA"/>
    <w:rsid w:val="0EC817E1"/>
    <w:rsid w:val="1DA51222"/>
    <w:rsid w:val="25B04A6A"/>
    <w:rsid w:val="270A0C34"/>
    <w:rsid w:val="2CCE583E"/>
    <w:rsid w:val="335403A8"/>
    <w:rsid w:val="49A860DC"/>
    <w:rsid w:val="4ADB0C83"/>
    <w:rsid w:val="581B25D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28"/>
      <w:szCs w:val="28"/>
      <w:lang w:val="en-US" w:eastAsia="en-US" w:bidi="ar-SA"/>
    </w:rPr>
  </w:style>
  <w:style w:type="character" w:styleId="5">
    <w:name w:val="Strong"/>
    <w:basedOn w:val="4"/>
    <w:qFormat/>
    <w:uiPriority w:val="0"/>
    <w:rPr>
      <w:b/>
    </w:rPr>
  </w:style>
  <w:style w:type="paragraph" w:customStyle="1" w:styleId="6">
    <w:name w:val="Table Text"/>
    <w:basedOn w:val="1"/>
    <w:semiHidden/>
    <w:qFormat/>
    <w:uiPriority w:val="0"/>
    <w:rPr>
      <w:rFonts w:ascii="仿宋" w:hAnsi="仿宋" w:eastAsia="仿宋" w:cs="仿宋"/>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4136</Words>
  <Characters>4190</Characters>
  <Lines>0</Lines>
  <Paragraphs>0</Paragraphs>
  <TotalTime>23</TotalTime>
  <ScaleCrop>false</ScaleCrop>
  <LinksUpToDate>false</LinksUpToDate>
  <CharactersWithSpaces>4255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2025-07-25T01:19:00Z</dcterms:created>
  <dc:creator>Administrator</dc:creator>
  <cp:lastModifiedBy>啾啾</cp:lastModifiedBy>
  <dcterms:modified xsi:type="dcterms:W3CDTF">2025-07-28T09:38:42Z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eyJoZGlkIjoiMGI4MTcwNDEyMzZkMjM4MzVjNDViNDdhMzhmZjRlZjgiLCJ1c2VySWQiOiIyNzA4NDYzNjIifQ==</vt:lpwstr>
  </property>
  <property fmtid="{D5CDD505-2E9C-101B-9397-08002B2CF9AE}" pid="4" name="ICV">
    <vt:lpwstr>C5D98ABA765A4551B021387EE0495B84_13</vt:lpwstr>
  </property>
</Properties>
</file>