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版本号：ZCPC-2025-04920250725001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西安市秦岭生态环境保护短信提醒、举报奖励项目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ZCPC-2025-049</w:t>
      </w:r>
      <w:r>
        <w:br/>
      </w:r>
      <w:r>
        <w:br/>
      </w:r>
      <w:r>
        <w:br/>
      </w:r>
    </w:p>
    <w:p>
      <w:pPr>
        <w:pStyle w:val="null3"/>
        <w:jc w:val="center"/>
        <w:outlineLvl w:val="2"/>
      </w:pPr>
      <w:r>
        <w:rPr>
          <w:rFonts w:ascii="仿宋_GB2312" w:hAnsi="仿宋_GB2312" w:cs="仿宋_GB2312" w:eastAsia="仿宋_GB2312"/>
          <w:sz w:val="28"/>
          <w:b/>
        </w:rPr>
        <w:t>西安市秦岭生态环境保护管理局（本级）</w:t>
      </w:r>
    </w:p>
    <w:p>
      <w:pPr>
        <w:pStyle w:val="null3"/>
        <w:jc w:val="center"/>
        <w:outlineLvl w:val="2"/>
      </w:pPr>
      <w:r>
        <w:rPr>
          <w:rFonts w:ascii="仿宋_GB2312" w:hAnsi="仿宋_GB2312" w:cs="仿宋_GB2312" w:eastAsia="仿宋_GB2312"/>
          <w:sz w:val="28"/>
          <w:b/>
        </w:rPr>
        <w:t>陕西众灿品诚项目管理有限公司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陕西众灿品诚项目管理有限公司</w:t>
      </w:r>
      <w:r>
        <w:rPr>
          <w:rFonts w:ascii="仿宋_GB2312" w:hAnsi="仿宋_GB2312" w:cs="仿宋_GB2312" w:eastAsia="仿宋_GB2312"/>
        </w:rPr>
        <w:t>（以下简称“代理机构”）受</w:t>
      </w:r>
      <w:r>
        <w:rPr>
          <w:rFonts w:ascii="仿宋_GB2312" w:hAnsi="仿宋_GB2312" w:cs="仿宋_GB2312" w:eastAsia="仿宋_GB2312"/>
        </w:rPr>
        <w:t>西安市秦岭生态环境保护管理局（本级）</w:t>
      </w:r>
      <w:r>
        <w:rPr>
          <w:rFonts w:ascii="仿宋_GB2312" w:hAnsi="仿宋_GB2312" w:cs="仿宋_GB2312" w:eastAsia="仿宋_GB2312"/>
        </w:rPr>
        <w:t>委托，拟对</w:t>
      </w:r>
      <w:r>
        <w:rPr>
          <w:rFonts w:ascii="仿宋_GB2312" w:hAnsi="仿宋_GB2312" w:cs="仿宋_GB2312" w:eastAsia="仿宋_GB2312"/>
        </w:rPr>
        <w:t>西安市秦岭生态环境保护短信提醒、举报奖励项目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ZCPC-2025-049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西安市秦岭生态环境保护短信提醒、举报奖励项目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在现有秦岭短信平台的基础上，利用大数据及基站定位等技术，对进入或身处秦岭一般保护区及重点保护区的公众及工作人员，推送火情、汛情、森林虫害、动植物保护等信息，确保宣传内容精准触达目标人群，提升公众保护意识，确保相关部门能及时响应、责任人能有效处置、公众能正确避险，形成“监测-预警-发布-响应-反馈”的闭环管理，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2、法人授权委托书：法定代表人参与投标时，提供法定代表人身份证明及本人身份证复印件加盖公章；授权代表参与投标时，提供企业法人授权委托书和被授权人身份证复印件加盖公章；</w:t>
      </w:r>
    </w:p>
    <w:p>
      <w:pPr>
        <w:pStyle w:val="null3"/>
      </w:pPr>
      <w:r>
        <w:rPr>
          <w:rFonts w:ascii="仿宋_GB2312" w:hAnsi="仿宋_GB2312" w:cs="仿宋_GB2312" w:eastAsia="仿宋_GB2312"/>
        </w:rPr>
        <w:t>3、财务会计报告：供应商提供2023年度或2024年度经审计的财务会计报告（包括审计报告、资产负债表、利润表、现金流量表、所有者权益变动表及其附注，成立时间至提交投标文件截止时间不足一年的可提供成立后任意时段的资产负债表），或其投标前三个月内基本存款账户开户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4、社会保障资金缴纳证明：提供2025年1月1日至今内任意时段的社会保障资金缴存单据或社保机构开具的社会保险参保缴费情况证明，依法不需要缴纳社会保障资金的提供相关文件证明；</w:t>
      </w:r>
    </w:p>
    <w:p>
      <w:pPr>
        <w:pStyle w:val="null3"/>
      </w:pPr>
      <w:r>
        <w:rPr>
          <w:rFonts w:ascii="仿宋_GB2312" w:hAnsi="仿宋_GB2312" w:cs="仿宋_GB2312" w:eastAsia="仿宋_GB2312"/>
        </w:rPr>
        <w:t>5、税收缴纳证明：提供2025年1月1日至今内任意时段的纳税证明或完税证明，纳税证明或完税证明上应有代收机构或税务机关的公章，依法免税的应提供相关文件证明</w:t>
      </w:r>
    </w:p>
    <w:p>
      <w:pPr>
        <w:pStyle w:val="null3"/>
      </w:pPr>
      <w:r>
        <w:rPr>
          <w:rFonts w:ascii="仿宋_GB2312" w:hAnsi="仿宋_GB2312" w:cs="仿宋_GB2312" w:eastAsia="仿宋_GB2312"/>
        </w:rPr>
        <w:t>6、无重大违法记录声明：参加政府采购项目前 3 年内经营项目中没有重大违法记录声明；</w:t>
      </w:r>
    </w:p>
    <w:p>
      <w:pPr>
        <w:pStyle w:val="null3"/>
      </w:pPr>
      <w:r>
        <w:rPr>
          <w:rFonts w:ascii="仿宋_GB2312" w:hAnsi="仿宋_GB2312" w:cs="仿宋_GB2312" w:eastAsia="仿宋_GB2312"/>
        </w:rPr>
        <w:t>7、信用截图：通过“信用中国”网站（www.creditchina.gov.cn/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8、承诺函：提供具有履行服务合同所必需的设备和专业技术能力的承诺函；</w:t>
      </w:r>
    </w:p>
    <w:p>
      <w:pPr>
        <w:pStyle w:val="null3"/>
      </w:pPr>
      <w:r>
        <w:rPr>
          <w:rFonts w:ascii="仿宋_GB2312" w:hAnsi="仿宋_GB2312" w:cs="仿宋_GB2312" w:eastAsia="仿宋_GB2312"/>
        </w:rPr>
        <w:t>9、控股、管理关系：单位负责人为同一人或者存在控股、管理关系的不同供应商，不得同时参加本项目采购项目。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西安市秦岭生态环境保护管理局（本级）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长安区关中环线S107 与子午大道十字向西850米路北</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雷波</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029-89801382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陕西众灿品诚项目管理有限公司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陕西省西安市雁塔区电子城街道万象国际中心2号楼1单元801室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李如煊</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15191819370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考国家计委颁发的《招标代理服务收费管理暂行办法》（计价格[2002]1980号）和国家发展和改革委员会办公厅颁发的《关于招标代理服务收费有关问题的通知》（发改办价格[2003]857号）的有关规定按标准收取。不足伍仟元按伍仟元收取。成交服务费按约定由成交供应商支付。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西安市秦岭生态环境保护管理局（本级）</w:t>
      </w:r>
      <w:r>
        <w:rPr>
          <w:rFonts w:ascii="仿宋_GB2312" w:hAnsi="仿宋_GB2312" w:cs="仿宋_GB2312" w:eastAsia="仿宋_GB2312"/>
        </w:rPr>
        <w:t>和</w:t>
      </w:r>
      <w:r>
        <w:rPr>
          <w:rFonts w:ascii="仿宋_GB2312" w:hAnsi="仿宋_GB2312" w:cs="仿宋_GB2312" w:eastAsia="仿宋_GB2312"/>
        </w:rPr>
        <w:t>陕西众灿品诚项目管理有限公司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西安市秦岭生态环境保护管理局（本级）</w:t>
      </w:r>
      <w:r>
        <w:rPr>
          <w:rFonts w:ascii="仿宋_GB2312" w:hAnsi="仿宋_GB2312" w:cs="仿宋_GB2312" w:eastAsia="仿宋_GB2312"/>
        </w:rPr>
        <w:t>负责解释。除上述招标文件内容，其他内容由</w:t>
      </w:r>
      <w:r>
        <w:rPr>
          <w:rFonts w:ascii="仿宋_GB2312" w:hAnsi="仿宋_GB2312" w:cs="仿宋_GB2312" w:eastAsia="仿宋_GB2312"/>
        </w:rPr>
        <w:t>陕西众灿品诚项目管理有限公司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西安市秦岭生态环境保护管理局（本级）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陕西众灿品诚项目管理有限公司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满足国家及行业相关标准，满足招标文件要求，具体以甲乙双方签订的合同为准。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陕西众灿品诚项目管理有限公司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联系人：李如煊</w:t>
      </w:r>
    </w:p>
    <w:p>
      <w:pPr>
        <w:pStyle w:val="null3"/>
      </w:pPr>
      <w:r>
        <w:rPr>
          <w:rFonts w:ascii="仿宋_GB2312" w:hAnsi="仿宋_GB2312" w:cs="仿宋_GB2312" w:eastAsia="仿宋_GB2312"/>
        </w:rPr>
        <w:t>联系电话：15191819370</w:t>
      </w:r>
    </w:p>
    <w:p>
      <w:pPr>
        <w:pStyle w:val="null3"/>
      </w:pPr>
      <w:r>
        <w:rPr>
          <w:rFonts w:ascii="仿宋_GB2312" w:hAnsi="仿宋_GB2312" w:cs="仿宋_GB2312" w:eastAsia="仿宋_GB2312"/>
        </w:rPr>
        <w:t>地址：陕西省西安市雁塔区电子城街道万象国际中心2号楼1单元801室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4"/>
          <w:color w:val="000000"/>
        </w:rPr>
        <w:t>在现有秦岭短信平台的基础上，利用大数据及基站定位等技术，对进入或身处秦岭</w:t>
      </w:r>
      <w:r>
        <w:rPr>
          <w:rFonts w:ascii="仿宋_GB2312" w:hAnsi="仿宋_GB2312" w:cs="仿宋_GB2312" w:eastAsia="仿宋_GB2312"/>
          <w:sz w:val="24"/>
          <w:color w:val="000000"/>
        </w:rPr>
        <w:t>一般保护区及重点保护区的公众及工作人员</w:t>
      </w:r>
      <w:r>
        <w:rPr>
          <w:rFonts w:ascii="仿宋_GB2312" w:hAnsi="仿宋_GB2312" w:cs="仿宋_GB2312" w:eastAsia="仿宋_GB2312"/>
          <w:sz w:val="24"/>
          <w:color w:val="000000"/>
        </w:rPr>
        <w:t>，</w:t>
      </w:r>
      <w:r>
        <w:rPr>
          <w:rFonts w:ascii="仿宋_GB2312" w:hAnsi="仿宋_GB2312" w:cs="仿宋_GB2312" w:eastAsia="仿宋_GB2312"/>
          <w:sz w:val="24"/>
          <w:color w:val="000000"/>
        </w:rPr>
        <w:t>推送</w:t>
      </w:r>
      <w:r>
        <w:rPr>
          <w:rFonts w:ascii="仿宋_GB2312" w:hAnsi="仿宋_GB2312" w:cs="仿宋_GB2312" w:eastAsia="仿宋_GB2312"/>
          <w:sz w:val="24"/>
          <w:color w:val="000000"/>
        </w:rPr>
        <w:t>火情、汛情、森林虫害、动植物保护等信息，确保宣传内容</w:t>
      </w:r>
      <w:r>
        <w:rPr>
          <w:rFonts w:ascii="仿宋_GB2312" w:hAnsi="仿宋_GB2312" w:cs="仿宋_GB2312" w:eastAsia="仿宋_GB2312"/>
          <w:sz w:val="24"/>
          <w:color w:val="000000"/>
        </w:rPr>
        <w:t>精准触达目标人群，提升公众保护意识</w:t>
      </w:r>
      <w:r>
        <w:rPr>
          <w:rFonts w:ascii="仿宋_GB2312" w:hAnsi="仿宋_GB2312" w:cs="仿宋_GB2312" w:eastAsia="仿宋_GB2312"/>
          <w:sz w:val="24"/>
          <w:color w:val="000000"/>
        </w:rPr>
        <w:t>，</w:t>
      </w:r>
      <w:r>
        <w:rPr>
          <w:rFonts w:ascii="仿宋_GB2312" w:hAnsi="仿宋_GB2312" w:cs="仿宋_GB2312" w:eastAsia="仿宋_GB2312"/>
          <w:sz w:val="24"/>
          <w:color w:val="000000"/>
        </w:rPr>
        <w:t>确保相关部门能及时响应、责任人能有效处置、公众能正确避险，形成</w:t>
      </w:r>
      <w:r>
        <w:rPr>
          <w:rFonts w:ascii="仿宋_GB2312" w:hAnsi="仿宋_GB2312" w:cs="仿宋_GB2312" w:eastAsia="仿宋_GB2312"/>
          <w:sz w:val="24"/>
          <w:color w:val="000000"/>
        </w:rPr>
        <w:t>“监测-预警-发布-响应-反馈”的闭环管理</w:t>
      </w:r>
      <w:r>
        <w:rPr>
          <w:rFonts w:ascii="仿宋_GB2312" w:hAnsi="仿宋_GB2312" w:cs="仿宋_GB2312" w:eastAsia="仿宋_GB2312"/>
          <w:sz w:val="24"/>
          <w:color w:val="000000"/>
        </w:rPr>
        <w:t>。</w:t>
      </w:r>
    </w:p>
    <w:p>
      <w:pPr>
        <w:pStyle w:val="null3"/>
        <w:jc w:val="left"/>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2,400,000.00</w:t>
      </w:r>
    </w:p>
    <w:p>
      <w:pPr>
        <w:pStyle w:val="null3"/>
      </w:pPr>
      <w:r>
        <w:rPr>
          <w:rFonts w:ascii="仿宋_GB2312" w:hAnsi="仿宋_GB2312" w:cs="仿宋_GB2312" w:eastAsia="仿宋_GB2312"/>
        </w:rPr>
        <w:t>采购包最高限价（元）: 2,400,000.00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西安市秦岭生态环境保护短信提醒、举报奖励项目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信息传输业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标的名称：西安市秦岭生态环境保护短信提醒、举报奖励项目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105" w:firstLine="464"/>
              <w:jc w:val="left"/>
            </w:pPr>
            <w:r>
              <w:rPr>
                <w:rFonts w:ascii="仿宋_GB2312" w:hAnsi="仿宋_GB2312" w:cs="仿宋_GB2312" w:eastAsia="仿宋_GB2312"/>
                <w:sz w:val="21"/>
              </w:rPr>
              <w:t>一、项目目的</w:t>
            </w:r>
          </w:p>
          <w:p>
            <w:pPr>
              <w:pStyle w:val="null3"/>
              <w:jc w:val="left"/>
            </w:pPr>
            <w:r>
              <w:rPr>
                <w:rFonts w:ascii="仿宋_GB2312" w:hAnsi="仿宋_GB2312" w:cs="仿宋_GB2312" w:eastAsia="仿宋_GB2312"/>
                <w:sz w:val="21"/>
                <w:color w:val="000000"/>
              </w:rPr>
              <w:t>在现有秦岭短信平台的基础上，利用大数据及基站定位等技术，对进入或身处秦岭</w:t>
            </w:r>
            <w:r>
              <w:rPr>
                <w:rFonts w:ascii="仿宋_GB2312" w:hAnsi="仿宋_GB2312" w:cs="仿宋_GB2312" w:eastAsia="仿宋_GB2312"/>
                <w:sz w:val="21"/>
                <w:color w:val="000000"/>
              </w:rPr>
              <w:t>一般保护区及重点保护区的公众及工作人员</w:t>
            </w:r>
            <w:r>
              <w:rPr>
                <w:rFonts w:ascii="仿宋_GB2312" w:hAnsi="仿宋_GB2312" w:cs="仿宋_GB2312" w:eastAsia="仿宋_GB2312"/>
                <w:sz w:val="21"/>
                <w:color w:val="000000"/>
              </w:rPr>
              <w:t>，</w:t>
            </w:r>
            <w:r>
              <w:rPr>
                <w:rFonts w:ascii="仿宋_GB2312" w:hAnsi="仿宋_GB2312" w:cs="仿宋_GB2312" w:eastAsia="仿宋_GB2312"/>
                <w:sz w:val="21"/>
                <w:color w:val="000000"/>
              </w:rPr>
              <w:t>推送</w:t>
            </w:r>
            <w:r>
              <w:rPr>
                <w:rFonts w:ascii="仿宋_GB2312" w:hAnsi="仿宋_GB2312" w:cs="仿宋_GB2312" w:eastAsia="仿宋_GB2312"/>
                <w:sz w:val="21"/>
                <w:color w:val="000000"/>
              </w:rPr>
              <w:t>火情、汛情、森林虫害、动植物保护等信息，确保宣传内容</w:t>
            </w:r>
            <w:r>
              <w:rPr>
                <w:rFonts w:ascii="仿宋_GB2312" w:hAnsi="仿宋_GB2312" w:cs="仿宋_GB2312" w:eastAsia="仿宋_GB2312"/>
                <w:sz w:val="21"/>
                <w:color w:val="000000"/>
              </w:rPr>
              <w:t>精准触达目标人群，提升公众保护意识</w:t>
            </w:r>
            <w:r>
              <w:rPr>
                <w:rFonts w:ascii="仿宋_GB2312" w:hAnsi="仿宋_GB2312" w:cs="仿宋_GB2312" w:eastAsia="仿宋_GB2312"/>
                <w:sz w:val="21"/>
                <w:color w:val="000000"/>
              </w:rPr>
              <w:t>，确保相关部门能及时响应、责任人能有效处置、公众能正确避险，形成</w:t>
            </w:r>
            <w:r>
              <w:rPr>
                <w:rFonts w:ascii="仿宋_GB2312" w:hAnsi="仿宋_GB2312" w:cs="仿宋_GB2312" w:eastAsia="仿宋_GB2312"/>
                <w:sz w:val="21"/>
                <w:color w:val="000000"/>
              </w:rPr>
              <w:t>“监测-预警-发布-响应-反馈”的闭环管理。</w:t>
            </w:r>
          </w:p>
          <w:p>
            <w:pPr>
              <w:pStyle w:val="null3"/>
              <w:ind w:right="255" w:firstLine="719"/>
              <w:jc w:val="left"/>
            </w:pP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rPr>
              <w:t>二、</w:t>
            </w:r>
            <w:r>
              <w:rPr>
                <w:rFonts w:ascii="仿宋_GB2312" w:hAnsi="仿宋_GB2312" w:cs="仿宋_GB2312" w:eastAsia="仿宋_GB2312"/>
                <w:sz w:val="21"/>
              </w:rPr>
              <w:t>服务期</w:t>
            </w:r>
          </w:p>
          <w:p>
            <w:pPr>
              <w:pStyle w:val="null3"/>
              <w:jc w:val="left"/>
            </w:pPr>
            <w:r>
              <w:rPr>
                <w:rFonts w:ascii="仿宋_GB2312" w:hAnsi="仿宋_GB2312" w:cs="仿宋_GB2312" w:eastAsia="仿宋_GB2312"/>
                <w:sz w:val="21"/>
                <w:color w:val="000000"/>
              </w:rPr>
              <w:t>项目服务期：自合同签订之日起一年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sz w:val="21"/>
              </w:rPr>
              <w:t>三、在现有秦岭短信平台的基础上，利用大数据及基站定位等技术，对进入或身处秦岭一般保护区及重点保护区的公众及工作人员，推送火情、汛情、森林虫害、动植物保护等信息，确保宣传内容精准触达目标人群，提升公众保护意识，确保相关部门能及时响应、责任人能有效处置、公众能正确避险，形成</w:t>
            </w:r>
            <w:r>
              <w:rPr>
                <w:rFonts w:ascii="仿宋_GB2312" w:hAnsi="仿宋_GB2312" w:cs="仿宋_GB2312" w:eastAsia="仿宋_GB2312"/>
                <w:sz w:val="21"/>
              </w:rPr>
              <w:t>“监测-预警-发布-响应-反馈”的闭环管理。</w:t>
            </w:r>
          </w:p>
          <w:p>
            <w:pPr>
              <w:pStyle w:val="null3"/>
              <w:jc w:val="both"/>
            </w:pPr>
            <w:r>
              <w:rPr>
                <w:rFonts w:ascii="仿宋_GB2312" w:hAnsi="仿宋_GB2312" w:cs="仿宋_GB2312" w:eastAsia="仿宋_GB2312"/>
                <w:sz w:val="21"/>
              </w:rPr>
              <w:t>1、大数据智慧短信、围栏短信等下发及分析：</w:t>
            </w:r>
          </w:p>
          <w:p>
            <w:pPr>
              <w:pStyle w:val="null3"/>
              <w:jc w:val="both"/>
            </w:pPr>
            <w:r>
              <w:rPr>
                <w:rFonts w:ascii="仿宋_GB2312" w:hAnsi="仿宋_GB2312" w:cs="仿宋_GB2312" w:eastAsia="仿宋_GB2312"/>
                <w:sz w:val="21"/>
              </w:rPr>
              <w:t>1）针对秦岭保护区进行围栏触发智慧短信；针对区域内常驻人员、农家乐业主、进入围栏区域人员等进行精准短信发送，从而提醒相关管理要求；</w:t>
            </w:r>
          </w:p>
          <w:p>
            <w:pPr>
              <w:pStyle w:val="null3"/>
              <w:jc w:val="both"/>
            </w:pPr>
            <w:r>
              <w:rPr>
                <w:rFonts w:ascii="仿宋_GB2312" w:hAnsi="仿宋_GB2312" w:cs="仿宋_GB2312" w:eastAsia="仿宋_GB2312"/>
                <w:sz w:val="21"/>
              </w:rPr>
              <w:t>2）针对火情、汛情等自然灾害向相关人员发送提醒短信；</w:t>
            </w:r>
          </w:p>
          <w:p>
            <w:pPr>
              <w:pStyle w:val="null3"/>
              <w:jc w:val="both"/>
            </w:pPr>
            <w:r>
              <w:rPr>
                <w:rFonts w:ascii="仿宋_GB2312" w:hAnsi="仿宋_GB2312" w:cs="仿宋_GB2312" w:eastAsia="仿宋_GB2312"/>
                <w:sz w:val="21"/>
              </w:rPr>
              <w:t>3）有奖举报信息等内容；</w:t>
            </w:r>
          </w:p>
          <w:p>
            <w:pPr>
              <w:pStyle w:val="null3"/>
              <w:jc w:val="both"/>
            </w:pPr>
            <w:r>
              <w:rPr>
                <w:rFonts w:ascii="仿宋_GB2312" w:hAnsi="仿宋_GB2312" w:cs="仿宋_GB2312" w:eastAsia="仿宋_GB2312"/>
                <w:sz w:val="21"/>
              </w:rPr>
              <w:t>4）针对发送的短信进行实时统计和相关分析，为秦岭保护工作提供相关支撑。</w:t>
            </w:r>
          </w:p>
          <w:p>
            <w:pPr>
              <w:pStyle w:val="null3"/>
              <w:jc w:val="both"/>
            </w:pPr>
            <w:r>
              <w:rPr>
                <w:rFonts w:ascii="仿宋_GB2312" w:hAnsi="仿宋_GB2312" w:cs="仿宋_GB2312" w:eastAsia="仿宋_GB2312"/>
                <w:sz w:val="21"/>
              </w:rPr>
              <w:t>2、公益短信信息</w:t>
            </w:r>
          </w:p>
          <w:p>
            <w:pPr>
              <w:pStyle w:val="null3"/>
              <w:jc w:val="both"/>
            </w:pPr>
            <w:r>
              <w:rPr>
                <w:rFonts w:ascii="仿宋_GB2312" w:hAnsi="仿宋_GB2312" w:cs="仿宋_GB2312" w:eastAsia="仿宋_GB2312"/>
                <w:sz w:val="21"/>
              </w:rPr>
              <w:t>1）针对秦岭保护公益宣传、突发事件等情况，临时发送定制短信，每年大于等于5次。</w:t>
            </w:r>
          </w:p>
          <w:p>
            <w:pPr>
              <w:pStyle w:val="null3"/>
              <w:jc w:val="both"/>
            </w:pPr>
            <w:r>
              <w:rPr>
                <w:rFonts w:ascii="仿宋_GB2312" w:hAnsi="仿宋_GB2312" w:cs="仿宋_GB2312" w:eastAsia="仿宋_GB2312"/>
                <w:sz w:val="21"/>
              </w:rPr>
              <w:t>3、大数据智慧短信平台</w:t>
            </w:r>
          </w:p>
          <w:p>
            <w:pPr>
              <w:pStyle w:val="null3"/>
              <w:jc w:val="both"/>
            </w:pPr>
            <w:r>
              <w:rPr>
                <w:rFonts w:ascii="仿宋_GB2312" w:hAnsi="仿宋_GB2312" w:cs="仿宋_GB2312" w:eastAsia="仿宋_GB2312"/>
                <w:sz w:val="21"/>
              </w:rPr>
              <w:t>1）优化大数据智慧短信发送平台，实现多场景智慧短信发送；</w:t>
            </w:r>
          </w:p>
          <w:p>
            <w:pPr>
              <w:pStyle w:val="null3"/>
              <w:jc w:val="both"/>
            </w:pPr>
            <w:r>
              <w:rPr>
                <w:rFonts w:ascii="仿宋_GB2312" w:hAnsi="仿宋_GB2312" w:cs="仿宋_GB2312" w:eastAsia="仿宋_GB2312"/>
                <w:sz w:val="21"/>
              </w:rPr>
              <w:t>2）保障大数据智慧短信平台稳定运行，包含日常维护、巡检、数据库更新、通道检测等运维服务；</w:t>
            </w:r>
          </w:p>
          <w:p>
            <w:pPr>
              <w:pStyle w:val="null3"/>
              <w:jc w:val="both"/>
            </w:pPr>
            <w:r>
              <w:rPr>
                <w:rFonts w:ascii="仿宋_GB2312" w:hAnsi="仿宋_GB2312" w:cs="仿宋_GB2312" w:eastAsia="仿宋_GB2312"/>
                <w:sz w:val="21"/>
              </w:rPr>
              <w:t>3）制定灵活的短信发送策略（可设置一次性发送（应急短信）、周期性发送（普通短信）、支持任务周期、发送时间。支持最大发送限额，支持每日最大发送限额。</w:t>
            </w:r>
          </w:p>
          <w:p>
            <w:pPr>
              <w:pStyle w:val="null3"/>
              <w:jc w:val="left"/>
            </w:pPr>
            <w:r>
              <w:rPr>
                <w:rFonts w:ascii="仿宋_GB2312" w:hAnsi="仿宋_GB2312" w:cs="仿宋_GB2312" w:eastAsia="仿宋_GB2312"/>
                <w:sz w:val="21"/>
              </w:rPr>
              <w:t>4）对可视化展示平台进行优化升级，包含内容（根据招标文件要求）。</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sz w:val="21"/>
              </w:rPr>
              <w:t>四、服务要求</w:t>
            </w:r>
          </w:p>
          <w:p>
            <w:pPr>
              <w:pStyle w:val="null3"/>
              <w:jc w:val="both"/>
            </w:pPr>
            <w:r>
              <w:rPr>
                <w:rFonts w:ascii="仿宋_GB2312" w:hAnsi="仿宋_GB2312" w:cs="仿宋_GB2312" w:eastAsia="仿宋_GB2312"/>
                <w:sz w:val="21"/>
              </w:rPr>
              <w:t>中标供应商需确定专人与采购人进行具体业务对接，中标供应商应向采购人提供咨询和投诉服务，中标供应商应在</w:t>
            </w:r>
            <w:r>
              <w:rPr>
                <w:rFonts w:ascii="仿宋_GB2312" w:hAnsi="仿宋_GB2312" w:cs="仿宋_GB2312" w:eastAsia="仿宋_GB2312"/>
                <w:sz w:val="21"/>
              </w:rPr>
              <w:t xml:space="preserve"> 4 个小时内响应采购人咨询，48 个小时内处理采购人的投诉。</w:t>
            </w:r>
          </w:p>
          <w:p>
            <w:pPr>
              <w:pStyle w:val="null3"/>
              <w:jc w:val="both"/>
            </w:pPr>
            <w:r>
              <w:rPr>
                <w:rFonts w:ascii="仿宋_GB2312" w:hAnsi="仿宋_GB2312" w:cs="仿宋_GB2312" w:eastAsia="仿宋_GB2312"/>
                <w:sz w:val="21"/>
              </w:rPr>
              <w:t>中标供应商负责平台的维护与运营，并为之正常运行提供必要的日常维护、故障维修等工作。中标供应商为采购人提供必要的售后服务，保证采购人业务不间断。</w:t>
            </w:r>
          </w:p>
          <w:p>
            <w:pPr>
              <w:pStyle w:val="null3"/>
              <w:jc w:val="left"/>
            </w:pPr>
            <w:r>
              <w:rPr>
                <w:rFonts w:ascii="仿宋_GB2312" w:hAnsi="仿宋_GB2312" w:cs="仿宋_GB2312" w:eastAsia="仿宋_GB2312"/>
                <w:sz w:val="21"/>
                <w:color w:val="000000"/>
              </w:rPr>
              <w:t>中标供应商应保证采购人短信发送内容的准确性，不得随意更改采购人发送的短信内容。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满足项目采购要求配备</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满足国家及行业相关标准，满足招标文件要求，具体以甲乙双方签订的合同为准。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合同所约定的全部服务内容正常履行并经采购人验收合格后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合同执行完毕并经采购人终验合格后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 1、合同生效后，甲乙双方应按合同规定认真履约。合同履约责任只涉及合同甲乙双方，不考虑第三方因素。 2、乙方对服务过程中出现的问题推委、拖延，24小时未作出服务响应，应接受甲方的合理处罚。 3、由乙方原因不能履行合同服务项目，或履行合同质效达不到规定，甲方有权聘请第三方公司执行合同内所列项目，发生费用从乙方服务费用中扣除支付。 争议解决： 1、合同一经签订，不得随意变更、中止或终止。对确需变更、调整或者中止、终止合同的，应按规定履行相应的手续。 2、合同执行中发生争议的，甲、乙双方应协商解决，协商达不成一致时，可向甲方所在地人民法院提请诉讼。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采购标的对应的中小企业划分标准所属行业为：信息传输业。划型标准为：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 2.需要落实的政府采购政策：（1）、《国务院办公厅关于建立政府强制采购节能产品制度的通知》（国办发〔2007〕51号）；（2）、《财政部 司法部关于政府采购支持监狱企业发展有关问题的通知》（财库〔2014〕68号）；（3）、《三部门联合发布关于促进残疾人就业政府采购政策的通知》（财库〔2017〕141号）；（4）、《财政部 发展改革委 生态环境部 市场监管总局关于调整优化节能产品、环境标志产品政府采购执行机制的通知》（财库〔2019〕9号）；（5）、《关于运用政府采购政策支持乡村产业振兴的通知》（财库〔2021〕19号）；（6）、《政府采购促进中小企业发展管理办法》（财库〔2020〕46号）；（7）、陕西省财政厅关于印发《陕西省中小企业政府采购信用融资办法》（陕财办采〔2018〕23号）；（8）、《关于进一步加大政府采购支持中小企业力度的通知》（财库〔2022〕19号）；（9）、《关于扩大政府采购支持绿色建材促进建筑品质提升政策实施范围的通知》（财库〔2022〕35号）。 3.供应商需要在线提交所有通过电子化交易平台实施的政府采购项目的投标文件。 4.本项目非专门面向中小企业采购（残疾人福利性单位、监狱企业视同小型、微型企业）。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业绩.docx 分项报价表.docx 服务内容及服务邀请应答表 供应商应提交的相关资格证明材料.docx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分项报价表.docx 服务内容及服务邀请应答表 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服务内容及服务邀请应答表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法人授权委托书</w:t>
            </w:r>
          </w:p>
        </w:tc>
        <w:tc>
          <w:tcPr>
            <w:tcW w:type="dxa" w:w="3322"/>
          </w:tcPr>
          <w:p>
            <w:pPr>
              <w:pStyle w:val="null3"/>
            </w:pPr>
            <w:r>
              <w:rPr>
                <w:rFonts w:ascii="仿宋_GB2312" w:hAnsi="仿宋_GB2312" w:cs="仿宋_GB2312" w:eastAsia="仿宋_GB2312"/>
              </w:rPr>
              <w:t>法定代表人参与投标时，提供法定代表人身份证明及本人身份证复印件加盖公章；授权代表参与投标时，提供企业法人授权委托书和被授权人身份证复印件加盖公章；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财务会计报告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投标文件截止时间不足一年的可提供成立后任意时段的资产负债表），或其投标前三个月内基本存款账户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提供2025年1月1日至今内任意时段的社会保障资金缴存单据或社保机构开具的社会保险参保缴费情况证明，依法不需要缴纳社会保障资金的提供相关文件证明；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提供2025年1月1日至今内任意时段的纳税证明或完税证明，纳税证明或完税证明上应有代收机构或税务机关的公章，依法免税的应提供相关文件证明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参加政府采购项目前 3 年内经营项目中没有重大违法记录声明；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提供具有履行服务合同所必需的设备和专业技术能力的承诺函；</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单位负责人为同一人或者存在控股、管理关系的不同供应商，不得同时参加本项目采购项目。</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投标文件封面</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响应文件的语言、计量单位、报价货币是否满足招标文件要求；</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分项报价表.docx 投标函 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投标文件有效期符合招标文件要求</w:t>
            </w:r>
          </w:p>
        </w:tc>
        <w:tc>
          <w:tcPr>
            <w:tcW w:type="dxa" w:w="1661"/>
          </w:tcPr>
          <w:p>
            <w:pPr>
              <w:pStyle w:val="null3"/>
            </w:pPr>
            <w:r>
              <w:rPr>
                <w:rFonts w:ascii="仿宋_GB2312" w:hAnsi="仿宋_GB2312" w:cs="仿宋_GB2312" w:eastAsia="仿宋_GB2312"/>
              </w:rPr>
              <w:t>投标函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报价唯一，且没有高于采购预算或招标文件规定的最高限价</w:t>
            </w:r>
          </w:p>
        </w:tc>
        <w:tc>
          <w:tcPr>
            <w:tcW w:type="dxa" w:w="1661"/>
          </w:tcPr>
          <w:p>
            <w:pPr>
              <w:pStyle w:val="null3"/>
            </w:pPr>
            <w:r>
              <w:rPr>
                <w:rFonts w:ascii="仿宋_GB2312" w:hAnsi="仿宋_GB2312" w:cs="仿宋_GB2312" w:eastAsia="仿宋_GB2312"/>
              </w:rPr>
              <w:t>开标一览表 分项报价表.docx 投标函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开标一览表 投标函 服务方案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保修年限、范围</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服务方案 投标文件封面</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未出现招标文件规定的无效响应情形</w:t>
            </w:r>
          </w:p>
        </w:tc>
        <w:tc>
          <w:tcPr>
            <w:tcW w:type="dxa" w:w="1661"/>
          </w:tcPr>
          <w:p>
            <w:pPr>
              <w:pStyle w:val="null3"/>
            </w:pPr>
            <w:r>
              <w:rPr>
                <w:rFonts w:ascii="仿宋_GB2312" w:hAnsi="仿宋_GB2312" w:cs="仿宋_GB2312" w:eastAsia="仿宋_GB2312"/>
              </w:rPr>
              <w:t>开标一览表 分项报价表.docx 供应商应提交的相关资格证明材料.docx 投标函 投标文件封面</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一、评审内容 投标人提出针对于本项目的实整体服务方案，方案 内容包含：①对采购人需求的理解、服务目标、服务原则及项目技术方案；②项目总体架构设计，包含技术架构图、功能描述等。 二、评审标准 1、完整性：方案须详细全面，表述清晰完整，完全满足招标文件要求； 2、可实施性：切合本项目实际情况，实施步骤清晰、合理； 3、针对性：方案能够紧扣项目实际情况，内容科学合理。 三、赋分标准（满分16 分） ①对采购人需求的理解、服务目标、服务原则、项目技术方案：完全满足得分8分，以上方案中每缺少一项内容扣2分；每有一处内容与实际需求不符或不满足要求或与本项目需求不切合或直接套用其他项目内容的扣0.01-1.99分，扣完为止。 ②项目总体架构设计，包含技术架构图、功能描述：完全满足得分8分，以上方案中每缺少一项内容扣4分；每有一处内容与实际需求不符或不满足要求或与本项目需求不切合或直接套用其他项目内容的扣0.01-3.99分，扣完为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投标人提出针对本项目短信发送流程、平台升级维护方案及功能等内容，提供内容包含：①短信发送流程及流程图；②平台升级功能实现流程；③有同类功能或者类似设计页面等。 二、评审标准 1、完整性充分性：方案须详细全面，表述清晰完整，完全满足招标文件要求； 2、可实施性：切合本项目实际情况，实施步骤清晰、合理； 3、针对性：方案能够紧扣项目实际情况，内容科学合理。 三、赋分标准（满分15分） ①短信发送流程及流程图：完全满足得分5分；如内容与实际需求不符或不满足要求或与本项目需求不切合或直接套用其他项目内容的扣0.01-4.99分，扣完为止； ②平台升级维护功能实现流程：完全满足得分5分；如内容与实际需求不符或不满足要求或与本项目需求不切合或直接套用其他项目内容的扣0.01-4.99分，扣完为止； ③有同类功能或者类似设计页面，能更好完成项目交 付，完全满足得分5分；如内容与实际需求不符或不满足要求或与本项目需求不切合或直接套用其他项目内容的扣0.01-4.99分，扣完为止；不提供不得分。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信息安全保障方案</w:t>
            </w:r>
          </w:p>
        </w:tc>
        <w:tc>
          <w:tcPr>
            <w:tcW w:type="dxa" w:w="2492"/>
          </w:tcPr>
          <w:p>
            <w:pPr>
              <w:pStyle w:val="null3"/>
            </w:pPr>
            <w:r>
              <w:rPr>
                <w:rFonts w:ascii="仿宋_GB2312" w:hAnsi="仿宋_GB2312" w:cs="仿宋_GB2312" w:eastAsia="仿宋_GB2312"/>
              </w:rPr>
              <w:t>一、评审内容 投标人须遵循并优化现有的安全体系，在现有安全体制下提供可靠的安全策略及保障措施方案。 二、评审标准 1、完整性充分性：方案须详细全面，表述清晰完整，完全满足招标文件要求； 2、可实施性：切合本项目实际情况，实施步骤清晰、合理； 3、针对性：方案能够紧扣项目实际情况，内容科学合理。 三、赋分标准（满分 8 分） ①安全策略：完全满足得分4分；如内容与实际需求不符或不满足要求或与本项目需求不切合或直接套用其他项目内容的扣0.01-3.99分，扣完为止； ②保障措施方案：完全满足得分4分；如内容与实际需求不符或不满足要求或与本项目需求不切合或直接套用其他项目内容的扣0.01-3.99分，扣完为止；不提供不得分。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冗余备份方案</w:t>
            </w:r>
          </w:p>
        </w:tc>
        <w:tc>
          <w:tcPr>
            <w:tcW w:type="dxa" w:w="2492"/>
          </w:tcPr>
          <w:p>
            <w:pPr>
              <w:pStyle w:val="null3"/>
            </w:pPr>
            <w:r>
              <w:rPr>
                <w:rFonts w:ascii="仿宋_GB2312" w:hAnsi="仿宋_GB2312" w:cs="仿宋_GB2312" w:eastAsia="仿宋_GB2312"/>
              </w:rPr>
              <w:t>一、评审内容 为确保短信服务的可用性和业务连续性，投标方需提供全面的冗余备份设计方案：①短信通道的冗余备份方案；②系统的冗余备份方案；③数据层面的冗余备份方案； 二、评审标准 1、完整性：方案须详细全面，表述清晰完整，完全 满足招标文件要求； 2、可实施性：切合本项目实际情况，实施步骤清 晰、合理； 3、针对性：方案能够紧扣项目实际情况，内容科学 合理。 三、赋分标准（满分9 分） ①短信通道的冗余备份方案：完全满足得分3分；如内容与实际需求不符或不满足要求或与本项目需求不切合或直接套用其他项目内容的扣0.01-2.99分，扣完为止； ②系统的冗余备份方案;完全满足得分3分；如内容与实际需求不符或不满足要求或与本项目需求不切合或直接套用其他项目内容的扣0.01-2.99分，扣完为止； ③数据层面的冗余备份方案;完全满足得分3分；如内容与实际需求不符或不满足要求或与本项目需求不切合或直接套用其他项目内容的扣0.01-2.99分，扣完为止；不提供不得分。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服务质量保证措施</w:t>
            </w:r>
          </w:p>
        </w:tc>
        <w:tc>
          <w:tcPr>
            <w:tcW w:type="dxa" w:w="2492"/>
          </w:tcPr>
          <w:p>
            <w:pPr>
              <w:pStyle w:val="null3"/>
            </w:pPr>
            <w:r>
              <w:rPr>
                <w:rFonts w:ascii="仿宋_GB2312" w:hAnsi="仿宋_GB2312" w:cs="仿宋_GB2312" w:eastAsia="仿宋_GB2312"/>
              </w:rPr>
              <w:t>投标人提供针对本项目的服务质量保证措施及相应优势，确保本项目保质保量的完成。 以上内容完全满足得6分，如内容与实际需求不符或不满足要求或与本项目需求不切合或直接套用其他项目内容的扣0.01-5.99分，扣完为止；不提供不得分。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故障响应方案</w:t>
            </w:r>
          </w:p>
        </w:tc>
        <w:tc>
          <w:tcPr>
            <w:tcW w:type="dxa" w:w="2492"/>
          </w:tcPr>
          <w:p>
            <w:pPr>
              <w:pStyle w:val="null3"/>
            </w:pPr>
            <w:r>
              <w:rPr>
                <w:rFonts w:ascii="仿宋_GB2312" w:hAnsi="仿宋_GB2312" w:cs="仿宋_GB2312" w:eastAsia="仿宋_GB2312"/>
              </w:rPr>
              <w:t>投标人提出针对本项目的故障响应方案，故障响应 方案应包括：故障诊断、故障恢复；该内容应详细，准确、实用，明确体现服务的响应时间、解决问题时长，以及提供紧急响应下的服务方案。 一、评审内容： ①故障诊断;②故障恢复。 二、评审标准： 1、全面性：故障响应内容须全面详细，完整无缺漏； 2、合理性：故障响应内容针对项目特点，能够有效降低故障影响； 3、针对性：故障响应内容贴合项目实际需求，有明确的针对性。 三、赋分标准（满分 6 分）： ①故障诊断：完全满足得分3分；如内容与实际需求不符或不满足要求或与本项目需求不切合或直接套用其他项目内容的扣0.01-2.99分，扣完为止； ②故障恢复：完全满足得分3分；如内容与实际需求不符或不满足要求或与本项目需求不切合或直接套用其他项目内容的扣0.01-2.99分，扣完为止；不提供不得分。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服务团队（项目管理方案、项目经理人及技术负责人、人员组织架构）</w:t>
            </w:r>
          </w:p>
        </w:tc>
        <w:tc>
          <w:tcPr>
            <w:tcW w:type="dxa" w:w="2492"/>
          </w:tcPr>
          <w:p>
            <w:pPr>
              <w:pStyle w:val="null3"/>
            </w:pPr>
            <w:r>
              <w:rPr>
                <w:rFonts w:ascii="仿宋_GB2312" w:hAnsi="仿宋_GB2312" w:cs="仿宋_GB2312" w:eastAsia="仿宋_GB2312"/>
              </w:rPr>
              <w:t>投标人有完善的项目管理方案，整个项目设有项目经理人及技术负责人，有详细的人员组织架构，分工合理、责任明确，根据服务团队情况进行评审： 1、投标人服务团队人数安排合理，完全能够满足项 目实际需求，有详细的组织架构，人员分工清楚，责任明确，得 3 分； 2、投标人服务团队人数安排基本合理，基本或勉强 能满足项目实际需求，组织架构不够详细，人员分工较为明确，得 2 分； 3、投标人服务团队人数安排不够合理，较难满足项 目实际需求，无组织架构，人员分工不够明确，得 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服务团队（专业技术人员的服务经验、技术资格证书等）</w:t>
            </w:r>
          </w:p>
        </w:tc>
        <w:tc>
          <w:tcPr>
            <w:tcW w:type="dxa" w:w="2492"/>
          </w:tcPr>
          <w:p>
            <w:pPr>
              <w:pStyle w:val="null3"/>
            </w:pPr>
            <w:r>
              <w:rPr>
                <w:rFonts w:ascii="仿宋_GB2312" w:hAnsi="仿宋_GB2312" w:cs="仿宋_GB2312" w:eastAsia="仿宋_GB2312"/>
              </w:rPr>
              <w:t>服务团队有专职的专业技术人员负责本次项目的维护与技术服务，提供专职专业技术人员的服务经验、技术资格证书等，根据专业技术人员情况进行评审： 1、专职技术人员经验丰富，有相应技术资格证书，综合服务能力强，得 3 分； 2、专职技术人员具备一定的服务能力，有服务经验，有技术资格证书，得 2 分； 3、专职技术人员综合服务能力一般，缺少类似项目 服务经验，缺少技术资格证明，得 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根据招标要求，结合运行期间可能出现的情况，提 供应急响应方案，根据应急响应方案的全面性、合理 性、可行性等进行评审： 以上内容完全满足得6分，如内容与实际需求不符或不满足要求或与本项目需求不切合或直接套用其他项目内容的扣0.01-5.99分，扣完为止；不提供不得分。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具备充足的服务站点，有健全的售后服务体系，专业服务人员，具有完善的售后服务管理制度，根据售后服务能力进行全面评审： 1、服务站点充足完全能够满足项目需要，售后服务能力全面、突出，具备良好的专业性，售后服务体现完善，能够提供及时全面的售后服务，得 8 分； 2、服务站点较充足基本满足项目需要，有售后服务体系，专业的人员，售后服务管理制度基本全面，无明显缺失，基本能保证及时有效的售后服务，得6分； 3、服务站点能满足项目基本需要，基本无充裕，有一定的专业人员和售后服务管理制度较为详细，得4分； 4、服务站点较难满足项目基本需要，具备一定的专业人员，售后管理制度不够详细全面，得 2 分； 5、服务站点严重不足，不能满足项目基本需要，缺少专业人员，售后管理制度简单、不够全面，得 1 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 年 1月 1 日以来类似项目业绩（以合同签订日期为准）的业绩证明文件（每个项目业绩需提供合同关键页），评审时以业绩证明文件的扫描件为计分依据，每提供一份业绩证明文件得2 分，满分 10 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满足招标文件要求且投标报价最低的供应商的价格 为投标基准价得 10 分，其他各供应商的投标报价得分按 下列公式计算：（投标基准价/投标报价） ×10% ×100。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分项报价表.docx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 用扣除后的价格参加评审。承接本项目的供应商符合相应条件时，给予C1的价格扣除，即：评标价=最后报价×（1-C1）;监狱 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