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版本号：XAHQWL2025-11520250729001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2025年西安市融合医联体演练活动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XAHQWL2025-115</w:t>
      </w:r>
      <w:r>
        <w:br/>
      </w:r>
      <w:r>
        <w:br/>
      </w:r>
      <w:r>
        <w:br/>
      </w:r>
    </w:p>
    <w:p>
      <w:pPr>
        <w:pStyle w:val="null3"/>
        <w:jc w:val="center"/>
        <w:outlineLvl w:val="2"/>
      </w:pPr>
      <w:r>
        <w:rPr>
          <w:rFonts w:ascii="仿宋_GB2312" w:hAnsi="仿宋_GB2312" w:cs="仿宋_GB2312" w:eastAsia="仿宋_GB2312"/>
          <w:sz w:val="28"/>
          <w:b/>
        </w:rPr>
        <w:t>中共西安市委军民融合发展委员会办公室（本级）</w:t>
      </w:r>
    </w:p>
    <w:p>
      <w:pPr>
        <w:pStyle w:val="null3"/>
        <w:jc w:val="center"/>
        <w:outlineLvl w:val="2"/>
      </w:pPr>
      <w:r>
        <w:rPr>
          <w:rFonts w:ascii="仿宋_GB2312" w:hAnsi="仿宋_GB2312" w:cs="仿宋_GB2312" w:eastAsia="仿宋_GB2312"/>
          <w:sz w:val="28"/>
          <w:b/>
        </w:rPr>
        <w:t>西安华秦未来项目管理咨询有限公司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西安华秦未来项目管理咨询有限公司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中共西安市委军民融合发展委员会办公室（本级）</w:t>
      </w:r>
      <w:r>
        <w:rPr>
          <w:rFonts w:ascii="仿宋_GB2312" w:hAnsi="仿宋_GB2312" w:cs="仿宋_GB2312" w:eastAsia="仿宋_GB2312"/>
        </w:rPr>
        <w:t>委托，拟对</w:t>
      </w:r>
      <w:r>
        <w:rPr>
          <w:rFonts w:ascii="仿宋_GB2312" w:hAnsi="仿宋_GB2312" w:cs="仿宋_GB2312" w:eastAsia="仿宋_GB2312"/>
        </w:rPr>
        <w:t>2025年西安市融合医联体演练活动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XAHQWL2025-115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2025年西安市融合医联体演练活动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快推进军民融合医联体建设，切实提升军地医疗卫生系统在重大突发事件及应战状态下的协同处置能力与联合保障水平，市委军民融合办拟开展2025年西安市军民融合医联体演练活动。本次演练拟委托第三方组织进行，演练计划开展5天，开展列车医疗实战化演练及预先培训，进一步完善医联体机制建设，并总结提炼经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采购包1（融合医联体演练活动）：属于专门面向中小企业采购。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度财务审计报告(至少包含利润表、资产负债表、现金流量表、所有者权益变动表、会计报表附注)，成立时间至提交响应文件截止时间不足一年的提供其基本账户开户银行出具的资信证明及基本账户开户许可证（或基本存款账户信息相关证明文件）</w:t>
      </w:r>
    </w:p>
    <w:p>
      <w:pPr>
        <w:pStyle w:val="null3"/>
      </w:pPr>
      <w:r>
        <w:rPr>
          <w:rFonts w:ascii="仿宋_GB2312" w:hAnsi="仿宋_GB2312" w:cs="仿宋_GB2312" w:eastAsia="仿宋_GB2312"/>
        </w:rPr>
        <w:t>3、税收缴纳证明：提供磋商截止日前6个月内任一月份的纳税证明或完税证明，依法免税的单位应提供相关证明材料(任意税种)</w:t>
      </w:r>
    </w:p>
    <w:p>
      <w:pPr>
        <w:pStyle w:val="null3"/>
      </w:pPr>
      <w:r>
        <w:rPr>
          <w:rFonts w:ascii="仿宋_GB2312" w:hAnsi="仿宋_GB2312" w:cs="仿宋_GB2312" w:eastAsia="仿宋_GB2312"/>
        </w:rPr>
        <w:t>4、社会保障资金缴纳证明：提供磋商截止日前6个月内任一月份的社会保障资金缴存单据或社保机构开具的社会保险参保缴费情况证明材料，依法不需要缴纳社会保障资金的单位应提供相关证明材料</w:t>
      </w:r>
    </w:p>
    <w:p>
      <w:pPr>
        <w:pStyle w:val="null3"/>
      </w:pPr>
      <w:r>
        <w:rPr>
          <w:rFonts w:ascii="仿宋_GB2312" w:hAnsi="仿宋_GB2312" w:cs="仿宋_GB2312" w:eastAsia="仿宋_GB2312"/>
        </w:rPr>
        <w:t>5、无重大违法记录的书面声明：参加政府采购活动前三年内，在经营活动中没有重大违法记录的书面声明</w:t>
      </w:r>
    </w:p>
    <w:p>
      <w:pPr>
        <w:pStyle w:val="null3"/>
      </w:pPr>
      <w:r>
        <w:rPr>
          <w:rFonts w:ascii="仿宋_GB2312" w:hAnsi="仿宋_GB2312" w:cs="仿宋_GB2312" w:eastAsia="仿宋_GB2312"/>
        </w:rPr>
        <w:t>6、企业信用：不得为“信用中国”网站(http:/hnnr. creditchina. oy.cn/)中列入失信被执行人和重大税收违法失信主体的供应商，不得为“中国政府采购网”(mnw.ccgp.gov.cn)政府采购严重违法失信行为记录名单中被财政部门禁止参加政府采购活动的供应商；</w:t>
      </w:r>
    </w:p>
    <w:p>
      <w:pPr>
        <w:pStyle w:val="null3"/>
      </w:pPr>
      <w:r>
        <w:rPr>
          <w:rFonts w:ascii="仿宋_GB2312" w:hAnsi="仿宋_GB2312" w:cs="仿宋_GB2312" w:eastAsia="仿宋_GB2312"/>
        </w:rPr>
        <w:t>7、中小企业声明：本项目专门面向中小企业采购（残疾人福利性单位、监狱企业视同小型、微型企业），供应商需提供《中小企业声明函》（监狱企业的证明文件或《残疾人福利性单位声明函》）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中共西安市委军民融合发展委员会办公室（本级）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西安市未央区红旗东路888号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029-81709818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西安华秦未来项目管理咨询有限公司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029-85518893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代理服务费收费标准：参照国家计委颁布的《国家发改委文件发改价格[2011]534号文件》及《国家计委价格[2002]1980号文件》规定标准计取（若单项目服务费按承诺收费标准计算不足5000元按5000元计取）。 代理服务费以转账形式缴纳至如下指定账户: 开户名称:西安华秦未来项目管理咨询有限公司 开户行名称:宁夏银行服份有限公司西安雁塔路支行 账号:1200001015299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中共西安市委军民融合发展委员会办公室（本级）</w:t>
      </w:r>
      <w:r>
        <w:rPr>
          <w:rFonts w:ascii="仿宋_GB2312" w:hAnsi="仿宋_GB2312" w:cs="仿宋_GB2312" w:eastAsia="仿宋_GB2312"/>
        </w:rPr>
        <w:t>和</w:t>
      </w:r>
      <w:r>
        <w:rPr>
          <w:rFonts w:ascii="仿宋_GB2312" w:hAnsi="仿宋_GB2312" w:cs="仿宋_GB2312" w:eastAsia="仿宋_GB2312"/>
        </w:rPr>
        <w:t>西安华秦未来项目管理咨询有限公司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中共西安市委军民融合发展委员会办公室（本级）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西安华秦未来项目管理咨询有限公司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中共西安市委军民融合发展委员会办公室（本级）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西安华秦未来项目管理咨询有限公司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西安华秦未来项目管理咨询有限公司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西安华秦未来项目管理咨询有限公司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西安华秦未来项目管理咨询有限公司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联系人：熊娜</w:t>
      </w:r>
    </w:p>
    <w:p>
      <w:pPr>
        <w:pStyle w:val="null3"/>
      </w:pPr>
      <w:r>
        <w:rPr>
          <w:rFonts w:ascii="仿宋_GB2312" w:hAnsi="仿宋_GB2312" w:cs="仿宋_GB2312" w:eastAsia="仿宋_GB2312"/>
        </w:rPr>
        <w:t>联系电话：029-85518893</w:t>
      </w:r>
    </w:p>
    <w:p>
      <w:pPr>
        <w:pStyle w:val="null3"/>
      </w:pPr>
      <w:r>
        <w:rPr>
          <w:rFonts w:ascii="仿宋_GB2312" w:hAnsi="仿宋_GB2312" w:cs="仿宋_GB2312" w:eastAsia="仿宋_GB2312"/>
        </w:rPr>
        <w:t>地址：陕西省西安市莲湖区北关正街35号方兴大厦4层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推进融合医联体建设，切实提升军地医疗卫生系统在重大突发事件及应战状态下的协同处置能力与联合保障水平，市委军民融合办拟开展2025年西安市融合医联体演练活动。本次演练拟委托第三方组织进行，演练计划开展5天，开展列车医疗实战化演练及预先培训，进一步完善医联体机制建设，并总结提炼经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730,000.00</w:t>
      </w:r>
    </w:p>
    <w:p>
      <w:pPr>
        <w:pStyle w:val="null3"/>
      </w:pPr>
      <w:r>
        <w:rPr>
          <w:rFonts w:ascii="仿宋_GB2312" w:hAnsi="仿宋_GB2312" w:cs="仿宋_GB2312" w:eastAsia="仿宋_GB2312"/>
        </w:rPr>
        <w:t>采购包最高限价（元）: 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融合医联体演练活动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标的名称：融合医联体演练活动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A82E5"/>
              </w:rPr>
              <w:t>1.按照采购人要求完善西安市融合医联体运行机制，并建立西安市医联体医院、人员等数据库。</w:t>
            </w:r>
          </w:p>
          <w:p>
            <w:pPr>
              <w:pStyle w:val="null3"/>
              <w:jc w:val="both"/>
            </w:pPr>
            <w:r>
              <w:rPr>
                <w:rFonts w:ascii="仿宋_GB2312" w:hAnsi="仿宋_GB2312" w:cs="仿宋_GB2312" w:eastAsia="仿宋_GB2312"/>
                <w:sz w:val="21"/>
                <w:color w:val="0A82E5"/>
              </w:rPr>
              <w:t>2.</w:t>
            </w:r>
            <w:r>
              <w:rPr>
                <w:rFonts w:ascii="仿宋_GB2312" w:hAnsi="仿宋_GB2312" w:cs="仿宋_GB2312" w:eastAsia="仿宋_GB2312"/>
                <w:sz w:val="21"/>
                <w:color w:val="0A82E5"/>
              </w:rPr>
              <w:t>根据采购人需求编制科学合理、周密可行的演练活动方案并经采购人确认通过后实施。演练活动方案内容包括但不限于演练的目标和要求、演练流程和计划、演练情景设计及脚本编制等。</w:t>
            </w:r>
          </w:p>
          <w:p>
            <w:pPr>
              <w:pStyle w:val="null3"/>
              <w:jc w:val="both"/>
            </w:pPr>
            <w:r>
              <w:rPr>
                <w:rFonts w:ascii="仿宋_GB2312" w:hAnsi="仿宋_GB2312" w:cs="仿宋_GB2312" w:eastAsia="仿宋_GB2312"/>
                <w:sz w:val="21"/>
                <w:color w:val="0A82E5"/>
              </w:rPr>
              <w:t>3.</w:t>
            </w:r>
            <w:r>
              <w:rPr>
                <w:rFonts w:ascii="仿宋_GB2312" w:hAnsi="仿宋_GB2312" w:cs="仿宋_GB2312" w:eastAsia="仿宋_GB2312"/>
                <w:sz w:val="21"/>
                <w:color w:val="0A82E5"/>
              </w:rPr>
              <w:t>提供演练策划人员、控制人员、导调人员、活动设施搭建人员、影音拍摄、后勤保障人员等，不少于</w:t>
            </w:r>
            <w:r>
              <w:rPr>
                <w:rFonts w:ascii="仿宋_GB2312" w:hAnsi="仿宋_GB2312" w:cs="仿宋_GB2312" w:eastAsia="仿宋_GB2312"/>
                <w:sz w:val="21"/>
                <w:color w:val="0A82E5"/>
              </w:rPr>
              <w:t>10</w:t>
            </w:r>
            <w:r>
              <w:rPr>
                <w:rFonts w:ascii="仿宋_GB2312" w:hAnsi="仿宋_GB2312" w:cs="仿宋_GB2312" w:eastAsia="仿宋_GB2312"/>
                <w:sz w:val="21"/>
                <w:color w:val="0A82E5"/>
              </w:rPr>
              <w:t>个工作人员。</w:t>
            </w:r>
          </w:p>
          <w:p>
            <w:pPr>
              <w:pStyle w:val="null3"/>
              <w:jc w:val="both"/>
            </w:pPr>
            <w:r>
              <w:rPr>
                <w:rFonts w:ascii="仿宋_GB2312" w:hAnsi="仿宋_GB2312" w:cs="仿宋_GB2312" w:eastAsia="仿宋_GB2312"/>
                <w:sz w:val="21"/>
                <w:color w:val="0A82E5"/>
              </w:rPr>
              <w:t>4.演练活动开展之前按照演练方案及采购人要求进行预先培训。</w:t>
            </w:r>
          </w:p>
          <w:p>
            <w:pPr>
              <w:pStyle w:val="null3"/>
              <w:jc w:val="both"/>
            </w:pPr>
            <w:r>
              <w:rPr>
                <w:rFonts w:ascii="仿宋_GB2312" w:hAnsi="仿宋_GB2312" w:cs="仿宋_GB2312" w:eastAsia="仿宋_GB2312"/>
                <w:sz w:val="21"/>
                <w:color w:val="0A82E5"/>
              </w:rPr>
              <w:t>5</w:t>
            </w:r>
            <w:r>
              <w:rPr>
                <w:rFonts w:ascii="仿宋_GB2312" w:hAnsi="仿宋_GB2312" w:cs="仿宋_GB2312" w:eastAsia="仿宋_GB2312"/>
                <w:sz w:val="21"/>
                <w:color w:val="0A82E5"/>
              </w:rPr>
              <w:t>.</w:t>
            </w:r>
            <w:r>
              <w:rPr>
                <w:rFonts w:ascii="仿宋_GB2312" w:hAnsi="仿宋_GB2312" w:cs="仿宋_GB2312" w:eastAsia="仿宋_GB2312"/>
                <w:sz w:val="21"/>
                <w:color w:val="0A82E5"/>
              </w:rPr>
              <w:t>严格按照演练方案及采购人需求搭建布置演练场地。做好人员缺席、人员受伤、设备故障、恶劣天气等突发状况的应急处理工作。</w:t>
            </w:r>
          </w:p>
          <w:p>
            <w:pPr>
              <w:pStyle w:val="null3"/>
              <w:jc w:val="both"/>
            </w:pPr>
            <w:r>
              <w:rPr>
                <w:rFonts w:ascii="仿宋_GB2312" w:hAnsi="仿宋_GB2312" w:cs="仿宋_GB2312" w:eastAsia="仿宋_GB2312"/>
                <w:sz w:val="21"/>
                <w:color w:val="0A82E5"/>
              </w:rPr>
              <w:t>6</w:t>
            </w:r>
            <w:r>
              <w:rPr>
                <w:rFonts w:ascii="仿宋_GB2312" w:hAnsi="仿宋_GB2312" w:cs="仿宋_GB2312" w:eastAsia="仿宋_GB2312"/>
                <w:sz w:val="21"/>
                <w:color w:val="0A82E5"/>
              </w:rPr>
              <w:t>.</w:t>
            </w:r>
            <w:r>
              <w:rPr>
                <w:rFonts w:ascii="仿宋_GB2312" w:hAnsi="仿宋_GB2312" w:cs="仿宋_GB2312" w:eastAsia="仿宋_GB2312"/>
                <w:sz w:val="21"/>
                <w:color w:val="0A82E5"/>
              </w:rPr>
              <w:t>严格按照演练方案及采购人需求做好演练后勤保障服务。</w:t>
            </w:r>
          </w:p>
          <w:p>
            <w:pPr>
              <w:pStyle w:val="null3"/>
              <w:jc w:val="both"/>
            </w:pPr>
            <w:r>
              <w:rPr>
                <w:rFonts w:ascii="仿宋_GB2312" w:hAnsi="仿宋_GB2312" w:cs="仿宋_GB2312" w:eastAsia="仿宋_GB2312"/>
                <w:sz w:val="21"/>
                <w:color w:val="0A82E5"/>
              </w:rPr>
              <w:t>7.</w:t>
            </w:r>
            <w:r>
              <w:rPr>
                <w:rFonts w:ascii="仿宋_GB2312" w:hAnsi="仿宋_GB2312" w:cs="仿宋_GB2312" w:eastAsia="仿宋_GB2312"/>
                <w:sz w:val="21"/>
                <w:color w:val="0A82E5"/>
              </w:rPr>
              <w:t>做好演练现场图片及视频记录工作，并完成视频制作。</w:t>
            </w:r>
          </w:p>
          <w:p>
            <w:pPr>
              <w:pStyle w:val="null3"/>
              <w:jc w:val="both"/>
            </w:pPr>
            <w:r>
              <w:rPr>
                <w:rFonts w:ascii="仿宋_GB2312" w:hAnsi="仿宋_GB2312" w:cs="仿宋_GB2312" w:eastAsia="仿宋_GB2312"/>
                <w:sz w:val="21"/>
                <w:color w:val="0A82E5"/>
              </w:rPr>
              <w:t>8.</w:t>
            </w:r>
            <w:r>
              <w:rPr>
                <w:rFonts w:ascii="仿宋_GB2312" w:hAnsi="仿宋_GB2312" w:cs="仿宋_GB2312" w:eastAsia="仿宋_GB2312"/>
                <w:sz w:val="21"/>
                <w:color w:val="0A82E5"/>
              </w:rPr>
              <w:t>在演练结束后，协助采购人进行演练效果评估和总结工作，完成资料汇编，总结提炼医联体建设相关经验。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服务人员不少于10人，供应商自行配备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根据本项目实施情况，供应商自行提供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120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项目完成后，成交供应商应无条件配合采购人进行项目验收工作，并按照采购人要求提供验收资料。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签订合同后乙方向甲方开具增值税发票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乙方协助甲方编制演练活动方案，于演练活动开始前10日内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乙方完成合同约定的所有工作内容，经甲方验收通过后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协商或诉讼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政府采购供应商拒绝政府采购领域商业贿赂承诺书 资格证明材料 响应函 书面声明 供应商磋商资格承诺书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法定代表人授权委托书 资格证明材料 响应函 供应商磋商资格承诺书 法定代表人（单位负责人自然人）身份证明</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 供应商磋商资格承诺书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财务审计报告(至少包含利润表、资产负债表、现金流量表、所有者权益变动表、会计报表附注)，成立时间至提交响应文件截止时间不足一年的提供其基本账户开户银行出具的资信证明及基本账户开户许可证（或基本存款账户信息相关证明文件）</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提供磋商截止日前6个月内任一月份的纳税证明或完税证明，依法免税的单位应提供相关证明材料(任意税种)</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提供磋商截止日前6个月内任一月份的社会保障资金缴存单据或社保机构开具的社会保险参保缴费情况证明材料，依法不需要缴纳社会保障资金的单位应提供相关证明材料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 书面声明 供应商磋商资格承诺书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不得为“信用中国”网站(http:/hnnr. creditchina. oy.cn/)中列入失信被执行人和重大税收违法失信主体的供应商，不得为“中国政府采购网”(mnw.ccgp.gov.cn)政府采购严重违法失信行为记录名单中被财政部门禁止参加政府采购活动的供应商；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 供应商磋商资格承诺书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w:t>
            </w:r>
          </w:p>
        </w:tc>
        <w:tc>
          <w:tcPr>
            <w:tcW w:type="dxa" w:w="1661"/>
          </w:tcPr>
          <w:p>
            <w:pPr>
              <w:pStyle w:val="null3"/>
            </w:pPr>
            <w:r>
              <w:rPr>
                <w:rFonts w:ascii="仿宋_GB2312" w:hAnsi="仿宋_GB2312" w:cs="仿宋_GB2312" w:eastAsia="仿宋_GB2312"/>
              </w:rPr>
              <w:t>残疾人福利性单位声明函 中小企业声明函 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政府采购供应商拒绝政府采购领域商业贿赂承诺书 首轮报价表 法定代表人授权委托书 分项报价表 资格证明材料 响应函 书面声明 供应商磋商资格承诺书 法定代表人（单位负责人自然人）身份证明 商务偏差表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响应文件满足采购文件全部实质性要求，且按照评审因素的量化指标评审得分最高的为排名第一的候选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对西安市医疗卫生医联体现状的总体分析</w:t>
            </w:r>
          </w:p>
        </w:tc>
        <w:tc>
          <w:tcPr>
            <w:tcW w:type="dxa" w:w="2492"/>
          </w:tcPr>
          <w:p>
            <w:pPr>
              <w:pStyle w:val="null3"/>
            </w:pPr>
            <w:r>
              <w:rPr>
                <w:rFonts w:ascii="仿宋_GB2312" w:hAnsi="仿宋_GB2312" w:cs="仿宋_GB2312" w:eastAsia="仿宋_GB2312"/>
              </w:rPr>
              <w:t>1.主题鲜明、结构严谨、论证严密，对项目实施具有较强的指导作用得（10-15分]； 2.主题、结构基本清晰、具有一定的合理性和可行性，对项目实施可起到一定指导作用得（5-10]； 3.主题、结构不清晰、合理性和可行性较差，影响项目实施得[1-5]。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商务偏差表</w:t>
            </w:r>
          </w:p>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针对本项目重点、难点分析</w:t>
            </w:r>
          </w:p>
        </w:tc>
        <w:tc>
          <w:tcPr>
            <w:tcW w:type="dxa" w:w="2492"/>
          </w:tcPr>
          <w:p>
            <w:pPr>
              <w:pStyle w:val="null3"/>
            </w:pPr>
            <w:r>
              <w:rPr>
                <w:rFonts w:ascii="仿宋_GB2312" w:hAnsi="仿宋_GB2312" w:cs="仿宋_GB2312" w:eastAsia="仿宋_GB2312"/>
              </w:rPr>
              <w:t>1.重点环节分析准确、全面的得（10-15分]； 2.重点环节分析较准确、较全面的得（5-10]； 3.重点环节分析有不全面的得[1-5]。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商务偏差表</w:t>
            </w:r>
          </w:p>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工作计划安排</w:t>
            </w:r>
          </w:p>
        </w:tc>
        <w:tc>
          <w:tcPr>
            <w:tcW w:type="dxa" w:w="2492"/>
          </w:tcPr>
          <w:p>
            <w:pPr>
              <w:pStyle w:val="null3"/>
            </w:pPr>
            <w:r>
              <w:rPr>
                <w:rFonts w:ascii="仿宋_GB2312" w:hAnsi="仿宋_GB2312" w:cs="仿宋_GB2312" w:eastAsia="仿宋_GB2312"/>
              </w:rPr>
              <w:t>1.工作计划安排合理、可行性强得（7-10]； 2.工作计划安排具有一定的可行性得（4-7]； 3.工作计划安排内容空洞，可行性较差得[1-4]。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p>
            <w:pPr>
              <w:pStyle w:val="null3"/>
            </w:pPr>
            <w:r>
              <w:rPr>
                <w:rFonts w:ascii="仿宋_GB2312" w:hAnsi="仿宋_GB2312" w:cs="仿宋_GB2312" w:eastAsia="仿宋_GB2312"/>
              </w:rPr>
              <w:t>商务偏差表</w:t>
            </w:r>
          </w:p>
        </w:tc>
      </w:tr>
      <w:tr>
        <w:tc>
          <w:tcPr>
            <w:tcW w:type="dxa" w:w="831"/>
            <w:vMerge/>
          </w:tcPr>
          <w:p/>
        </w:tc>
        <w:tc>
          <w:tcPr>
            <w:tcW w:type="dxa" w:w="1661"/>
          </w:tcPr>
          <w:p>
            <w:pPr>
              <w:pStyle w:val="null3"/>
            </w:pPr>
            <w:r>
              <w:rPr>
                <w:rFonts w:ascii="仿宋_GB2312" w:hAnsi="仿宋_GB2312" w:cs="仿宋_GB2312" w:eastAsia="仿宋_GB2312"/>
              </w:rPr>
              <w:t>工作制度和保密措施</w:t>
            </w:r>
          </w:p>
        </w:tc>
        <w:tc>
          <w:tcPr>
            <w:tcW w:type="dxa" w:w="2492"/>
          </w:tcPr>
          <w:p>
            <w:pPr>
              <w:pStyle w:val="null3"/>
            </w:pPr>
            <w:r>
              <w:rPr>
                <w:rFonts w:ascii="仿宋_GB2312" w:hAnsi="仿宋_GB2312" w:cs="仿宋_GB2312" w:eastAsia="仿宋_GB2312"/>
              </w:rPr>
              <w:t>1.工作制度和保密措施完善，能够确保项目正常实施，保证项目安全得（7-10]； 2.工作制度和保密措施一般，基本满足采购人需求得（4-7]； 3.工作制度和保密措施较差，不能满足采购人需求得[1-4]。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p>
            <w:pPr>
              <w:pStyle w:val="null3"/>
            </w:pPr>
            <w:r>
              <w:rPr>
                <w:rFonts w:ascii="仿宋_GB2312" w:hAnsi="仿宋_GB2312" w:cs="仿宋_GB2312" w:eastAsia="仿宋_GB2312"/>
              </w:rPr>
              <w:t>商务偏差表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1.保障措施科学、合理、可行的得（7-10]； 2.基本合理可行的得（4-7]； 3.合理性和可行性较差的得[1-4]。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w:t>
            </w:r>
          </w:p>
          <w:p>
            <w:pPr>
              <w:pStyle w:val="null3"/>
            </w:pPr>
            <w:r>
              <w:rPr>
                <w:rFonts w:ascii="仿宋_GB2312" w:hAnsi="仿宋_GB2312" w:cs="仿宋_GB2312" w:eastAsia="仿宋_GB2312"/>
              </w:rPr>
              <w:t>商务偏差表</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根据供应商提供的人员配备方案的合理性、科学性等指标的反映情况进行综合评分，提供服务团队人员配备包括但不限于演练策划人员、控制人员、导调人员、活动设施搭建人员、影音拍摄、后勤保障人员等： 1.团队人员配备科学合理，各岗位人员安排得当，计7分；团队人员配备较科学合理，各岗位人员安排较得当，计5分；团队人员配备不合理，各岗位人员安排不得当计3分。 说明：没有提供团队人员配备或配备人员不满足采购要求的视为不响应。 2.拟投入的工作人员具有相关专业职称证书或相关专业资格证书的，每提供一份计1分，最高得3分（提供证书复印件并加盖供应商公章）。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商务偏差表</w:t>
            </w:r>
          </w:p>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提供完善的服务质量保障措施，确保工作有效开展，根据供应商提供保障措施的完善程度、合理性、可操作性分档计分。 1.措施完善、合理、可操作性强的，计10分； 2.措施较完善、较合理、可操作性较强的，计6分； 3.措施不完善、不合理、可操作性较差的，计3分；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商务偏差表</w:t>
            </w:r>
          </w:p>
          <w:p>
            <w:pPr>
              <w:pStyle w:val="null3"/>
            </w:pPr>
            <w:r>
              <w:rPr>
                <w:rFonts w:ascii="仿宋_GB2312" w:hAnsi="仿宋_GB2312" w:cs="仿宋_GB2312" w:eastAsia="仿宋_GB2312"/>
              </w:rPr>
              <w:t>服务方案及其他资料</w:t>
            </w:r>
          </w:p>
        </w:tc>
      </w:tr>
      <w:tr>
        <w:tc>
          <w:tcPr>
            <w:tcW w:type="dxa" w:w="831"/>
            <w:vMerge/>
          </w:tcPr>
          <w:p/>
        </w:tc>
        <w:tc>
          <w:tcPr>
            <w:tcW w:type="dxa" w:w="1661"/>
          </w:tcPr>
          <w:p>
            <w:pPr>
              <w:pStyle w:val="null3"/>
            </w:pPr>
            <w:r>
              <w:rPr>
                <w:rFonts w:ascii="仿宋_GB2312" w:hAnsi="仿宋_GB2312" w:cs="仿宋_GB2312" w:eastAsia="仿宋_GB2312"/>
              </w:rPr>
              <w:t>业绩案例</w:t>
            </w:r>
          </w:p>
        </w:tc>
        <w:tc>
          <w:tcPr>
            <w:tcW w:type="dxa" w:w="2492"/>
          </w:tcPr>
          <w:p>
            <w:pPr>
              <w:pStyle w:val="null3"/>
            </w:pPr>
            <w:r>
              <w:rPr>
                <w:rFonts w:ascii="仿宋_GB2312" w:hAnsi="仿宋_GB2312" w:cs="仿宋_GB2312" w:eastAsia="仿宋_GB2312"/>
              </w:rPr>
              <w:t>供应商自2022年1月至今具有类似项目业绩，提供业绩合同，每提供一个得2分，最多得10分。（时间以合同签订时间为准）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详见附件：供应商磋商资格承诺书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详见附件：商务偏差表</w:t>
      </w:r>
    </w:p>
    <w:p>
      <w:pPr>
        <w:pStyle w:val="null3"/>
        <w:ind w:firstLine="960"/>
      </w:pPr>
      <w:r>
        <w:rPr>
          <w:rFonts w:ascii="仿宋_GB2312" w:hAnsi="仿宋_GB2312" w:cs="仿宋_GB2312" w:eastAsia="仿宋_GB2312"/>
        </w:rPr>
        <w:t>详见附件：服务方案及其他资料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详见附件：主要合同条款.docx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