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版本号：HZ-FWZB-2025-01020250728001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辅导员能力提升培训项目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HZ-FWZB-2025-010</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陕西恒信项目管理有限公司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陕西恒信项目管理有限公司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辅导员能力提升培训项目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HZ-FWZB-2025-010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辅导员能力提升培训项目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高校思想政治辅导员（以下简称“辅导员”）队伍是大学生成 长成才的人生导师和健康生活的知心朋友，是和高校教学、科研、 管理同等重要的“第四支队伍”，是全学段思政教育的主力军、全 场域服务成长的引路人、全链条人才培养的助推者，是建设中国 特色世界一流大学和实现教育强国不可或缺的重要力量。为深入 学习贯彻全国、全省教育大会精神，全面落实陕西省委教育工委《新时代陕西高校思想政治辅导员队伍建设提质增效十条措施》要求，进一步提升我校辅导员知识水平和素质能力，打造一支高素质辅导员队伍，推动我校思想政治教育工作和学生工作高质量发展，结合学校辅导员队伍实际，围绕辅导员政治能力、心理疏导、就业指导、数字思政等育人能力，实施辅导员能力提升培训项目，实现全员培训、全面培训和精准培训，切实提升辅导员队伍知识水平和素质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独立承担民事责任的能力：合法注册的法人应提供营业执照（或事业法人证）、组织机构代码证、税务登记证或统一社会信用代码的营业执照或其他组织应提供合法证明文件或自然人提供身份证件，提供复印件并进行电子签章；</w:t>
      </w:r>
    </w:p>
    <w:p>
      <w:pPr>
        <w:pStyle w:val="null3"/>
      </w:pPr>
      <w:r>
        <w:rPr>
          <w:rFonts w:ascii="仿宋_GB2312" w:hAnsi="仿宋_GB2312" w:cs="仿宋_GB2312" w:eastAsia="仿宋_GB2312"/>
        </w:rPr>
        <w:t>2、良好的商业信誉和健全的财务会计制度：良好的商业信誉和健全的财务会计制度：2024年度经审计的财务报告或在2025年1月1日至今其基本开户银行出具的资信证明（需随附开户证明资料）或财政部门认可的政府采购专业担保机构出具的投标担保函（以上三种形式的资料提供任何一种即可），提供复印件并进行电子签章；</w:t>
      </w:r>
    </w:p>
    <w:p>
      <w:pPr>
        <w:pStyle w:val="null3"/>
      </w:pPr>
      <w:r>
        <w:rPr>
          <w:rFonts w:ascii="仿宋_GB2312" w:hAnsi="仿宋_GB2312" w:cs="仿宋_GB2312" w:eastAsia="仿宋_GB2312"/>
        </w:rPr>
        <w:t>3、有依法缴纳税收和社会保障资金的良好记录：有依法缴纳税收和社会保障资金的良好记录：提供时间在2025年1月1日至今任意时段的缴纳证明，提供复印件并进行电子签章；</w:t>
      </w:r>
    </w:p>
    <w:p>
      <w:pPr>
        <w:pStyle w:val="null3"/>
      </w:pPr>
      <w:r>
        <w:rPr>
          <w:rFonts w:ascii="仿宋_GB2312" w:hAnsi="仿宋_GB2312" w:cs="仿宋_GB2312" w:eastAsia="仿宋_GB2312"/>
        </w:rPr>
        <w:t>4、书面声明：（1）参加政府采购活动前三年内，在经营活动中没有重大违法记录的书面声明。需进行电子签章；（2）具有履行本合同所必需的设备和专业技术能力的声明，需进行电子签章；</w:t>
      </w:r>
    </w:p>
    <w:p>
      <w:pPr>
        <w:pStyle w:val="null3"/>
      </w:pPr>
      <w:r>
        <w:rPr>
          <w:rFonts w:ascii="仿宋_GB2312" w:hAnsi="仿宋_GB2312" w:cs="仿宋_GB2312" w:eastAsia="仿宋_GB2312"/>
        </w:rPr>
        <w:t>5、法律、行政法规规定的其他条件：法律、行政法规规定的其他条件：法定代表人直接参加投标的，须提供法定代表人身份证明；法定代表人授权代表参加投标的，须提供法定代表人授权委托书。需提供电子签章。</w:t>
      </w:r>
    </w:p>
    <w:p>
      <w:pPr>
        <w:pStyle w:val="null3"/>
      </w:pPr>
      <w:r>
        <w:rPr>
          <w:rFonts w:ascii="仿宋_GB2312" w:hAnsi="仿宋_GB2312" w:cs="仿宋_GB2312" w:eastAsia="仿宋_GB2312"/>
        </w:rPr>
        <w:t>6、供应商企业关系关联及联合体说明：供应商企业关系关联及联合体说明：单位负责人为同一人或者存在直接控股、管理关系的不同供应商，不得参加同一合同项下的政府采购活动；本项目不允许联合体磋商。提供声明并加盖电子签章。</w:t>
      </w:r>
    </w:p>
    <w:p>
      <w:pPr>
        <w:pStyle w:val="null3"/>
      </w:pPr>
      <w:r>
        <w:rPr>
          <w:rFonts w:ascii="仿宋_GB2312" w:hAnsi="仿宋_GB2312" w:cs="仿宋_GB2312" w:eastAsia="仿宋_GB2312"/>
        </w:rPr>
        <w:t>7、备注：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西安铁路职业技术学院学工部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029-88092180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陕西省西安市雁塔区陕西省西安市高新区高新六路25号万象汇1幢1单元5层10501、10502室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刘诗麒、杨利乔、杨柳，刘萌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029－88897788；17391636545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说明：（1）履约保证金交纳时间：供应商应在签订合同前须将履约保证金交至西安市财政局预算单位实有资金财政代管账户，其数额为合同金额的5%。 （2）履约保证金的缴纳形式：供应商可自主选择银行对公转账、电汇或以支票、保函等非现金形式交纳。 （3）履约保证金的退还：项目验收合格后，成交供应商向采购人提交双方约定的所有档案资料(三份纸质版，一份电子版)，并持《申请支付履约保证金的函》到采购人办理相关手续后，采购人于30日内向成交供应商无息退还。 （4）履约保证金收取账号信息： 名称:西安市财政局预算单位实有资金财政代管账户 开户银行:中国建设银行股份有限公司西安莲湖路支行 银行账号:61001711100052518874-203033 纳税人识别号:12610100437202545W 地址:西安市灞桥区港务大道 396号 电话：029-88092201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原国家计委颁布的《招标代理服务费收费管理暂行办法》（计价格[2002]1980号）中服务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陕西恒信项目管理有限公司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西安铁路职业技术学院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验收条件： 1培训课程内容的完整性。培训课程内容是否丰富全面，安排是否合理，是否能够满足学校和参训人员需要。 2培训方法的科学性。培训方法是否科学、针对性强，是否能够有效提升参训人员工作能力。 3培训师资的专业性。培训师资是否在本专业领域具有较深的研究和较高的知名度，是否能为参训教师提供有效指导和帮助。 4培训成果的有效性。参训教师应100%获得培训结业证书。 以上验收指标可通过发放调查问卷等形式进行评测，参训教师对培训安排、服务、内容、质量和成效的总体满意度不低于85%。</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联系电话：17391636545</w:t>
      </w:r>
    </w:p>
    <w:p>
      <w:pPr>
        <w:pStyle w:val="null3"/>
      </w:pPr>
      <w:r>
        <w:rPr>
          <w:rFonts w:ascii="仿宋_GB2312" w:hAnsi="仿宋_GB2312" w:cs="仿宋_GB2312" w:eastAsia="仿宋_GB2312"/>
        </w:rPr>
        <w:t>地址：陕西省西安市雁塔区陕西省西安市高新区高新六路25号万象汇1幢1单元5层10501、10502室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高校思想政治辅导员（以下简称“辅导员”）队伍是大学生成 长成才的人生导师和健康生活的知心朋友，是和高校教学、科研、 管理同等重要的“第四支队伍”，是全学段思政教育的主力军、全 场域服务成长的引路人、全链条人才培养的助推者，是建设中国 特色世界一流大学和实现教育强国不可或缺的重要力量。为深入 学习贯彻全国、全省教育大会精神，全面落实陕西省委教育工委《新时代陕西高校思想政治辅导员队伍建设提质增效十条措施》要求，进一步提升我校辅导员知识水平和素质能力，打造一支高素质辅导员队伍，推动我校思想政治教育工作和学生工作高质量发展，结合学校辅导员队伍实际，围绕辅导员政治能力、心理疏导、就业指导、数字思政等育人能力，实施辅导员能力提升培训项目，实现全员培训、全面培训和精准培训，切实提升辅导员队伍知识水平和素质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辅导员能力提升培训项目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标的名称：辅导员能力提升培训项目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640"/>
              <w:jc w:val="both"/>
            </w:pPr>
            <w:r>
              <w:rPr>
                <w:rFonts w:ascii="仿宋_GB2312" w:hAnsi="仿宋_GB2312" w:cs="仿宋_GB2312" w:eastAsia="仿宋_GB2312"/>
                <w:sz w:val="32"/>
              </w:rPr>
              <w:t>一、服务内容</w:t>
            </w:r>
          </w:p>
          <w:p>
            <w:pPr>
              <w:pStyle w:val="null3"/>
              <w:ind w:firstLine="640"/>
              <w:jc w:val="left"/>
            </w:pPr>
            <w:r>
              <w:rPr>
                <w:rFonts w:ascii="仿宋_GB2312" w:hAnsi="仿宋_GB2312" w:cs="仿宋_GB2312" w:eastAsia="仿宋_GB2312"/>
                <w:sz w:val="32"/>
              </w:rPr>
              <w:t>1.</w:t>
            </w:r>
            <w:r>
              <w:rPr>
                <w:rFonts w:ascii="仿宋_GB2312" w:hAnsi="仿宋_GB2312" w:cs="仿宋_GB2312" w:eastAsia="仿宋_GB2312"/>
                <w:sz w:val="32"/>
              </w:rPr>
              <w:t>培训时间：拟定于</w:t>
            </w:r>
            <w:r>
              <w:rPr>
                <w:rFonts w:ascii="仿宋_GB2312" w:hAnsi="仿宋_GB2312" w:cs="仿宋_GB2312" w:eastAsia="仿宋_GB2312"/>
                <w:sz w:val="32"/>
              </w:rPr>
              <w:t>2025</w:t>
            </w:r>
            <w:r>
              <w:rPr>
                <w:rFonts w:ascii="仿宋_GB2312" w:hAnsi="仿宋_GB2312" w:cs="仿宋_GB2312" w:eastAsia="仿宋_GB2312"/>
                <w:sz w:val="32"/>
              </w:rPr>
              <w:t>年</w:t>
            </w:r>
            <w:r>
              <w:rPr>
                <w:rFonts w:ascii="仿宋_GB2312" w:hAnsi="仿宋_GB2312" w:cs="仿宋_GB2312" w:eastAsia="仿宋_GB2312"/>
                <w:sz w:val="32"/>
              </w:rPr>
              <w:t>8</w:t>
            </w:r>
            <w:r>
              <w:rPr>
                <w:rFonts w:ascii="仿宋_GB2312" w:hAnsi="仿宋_GB2312" w:cs="仿宋_GB2312" w:eastAsia="仿宋_GB2312"/>
                <w:sz w:val="32"/>
              </w:rPr>
              <w:t>月至</w:t>
            </w:r>
            <w:r>
              <w:rPr>
                <w:rFonts w:ascii="仿宋_GB2312" w:hAnsi="仿宋_GB2312" w:cs="仿宋_GB2312" w:eastAsia="仿宋_GB2312"/>
                <w:sz w:val="32"/>
              </w:rPr>
              <w:t>2026</w:t>
            </w:r>
            <w:r>
              <w:rPr>
                <w:rFonts w:ascii="仿宋_GB2312" w:hAnsi="仿宋_GB2312" w:cs="仿宋_GB2312" w:eastAsia="仿宋_GB2312"/>
                <w:sz w:val="32"/>
              </w:rPr>
              <w:t xml:space="preserve">年 </w:t>
            </w:r>
            <w:r>
              <w:rPr>
                <w:rFonts w:ascii="仿宋_GB2312" w:hAnsi="仿宋_GB2312" w:cs="仿宋_GB2312" w:eastAsia="仿宋_GB2312"/>
                <w:sz w:val="32"/>
              </w:rPr>
              <w:t>7</w:t>
            </w:r>
            <w:r>
              <w:rPr>
                <w:rFonts w:ascii="仿宋_GB2312" w:hAnsi="仿宋_GB2312" w:cs="仿宋_GB2312" w:eastAsia="仿宋_GB2312"/>
                <w:sz w:val="32"/>
              </w:rPr>
              <w:t>月，分期分批分类举办辅导员</w:t>
            </w:r>
            <w:r>
              <w:rPr>
                <w:rFonts w:ascii="仿宋_GB2312" w:hAnsi="仿宋_GB2312" w:cs="仿宋_GB2312" w:eastAsia="仿宋_GB2312"/>
                <w:sz w:val="32"/>
              </w:rPr>
              <w:t>能力提升</w:t>
            </w:r>
            <w:r>
              <w:rPr>
                <w:rFonts w:ascii="仿宋_GB2312" w:hAnsi="仿宋_GB2312" w:cs="仿宋_GB2312" w:eastAsia="仿宋_GB2312"/>
                <w:sz w:val="32"/>
              </w:rPr>
              <w:t>培训。</w:t>
            </w:r>
          </w:p>
          <w:p>
            <w:pPr>
              <w:pStyle w:val="null3"/>
              <w:ind w:firstLine="640"/>
              <w:jc w:val="left"/>
            </w:pPr>
            <w:r>
              <w:rPr>
                <w:rFonts w:ascii="仿宋_GB2312" w:hAnsi="仿宋_GB2312" w:cs="仿宋_GB2312" w:eastAsia="仿宋_GB2312"/>
                <w:sz w:val="32"/>
              </w:rPr>
              <w:t>2.</w:t>
            </w:r>
            <w:r>
              <w:rPr>
                <w:rFonts w:ascii="仿宋_GB2312" w:hAnsi="仿宋_GB2312" w:cs="仿宋_GB2312" w:eastAsia="仿宋_GB2312"/>
                <w:sz w:val="32"/>
              </w:rPr>
              <w:t>本培训项目主要包含三个模块，具体内容要求如下表</w:t>
            </w:r>
            <w:r>
              <w:rPr>
                <w:rFonts w:ascii="仿宋_GB2312" w:hAnsi="仿宋_GB2312" w:cs="仿宋_GB2312" w:eastAsia="仿宋_GB2312"/>
                <w:sz w:val="28"/>
              </w:rPr>
              <w:t>。</w:t>
            </w:r>
          </w:p>
          <w:p>
            <w:pPr>
              <w:pStyle w:val="null3"/>
              <w:ind w:firstLine="640"/>
              <w:jc w:val="left"/>
            </w:pPr>
            <w:r>
              <w:rPr>
                <w:rFonts w:ascii="仿宋_GB2312" w:hAnsi="仿宋_GB2312" w:cs="仿宋_GB2312" w:eastAsia="仿宋_GB2312"/>
                <w:sz w:val="32"/>
              </w:rPr>
              <w:t>3.培训方式：第一模块以专题报告、交流研讨、座谈交流、现场教学等多种形式进行；第二模块以现场教学、专题报告相结合的形式进行；第三模块分别邀请在思想政治教育领域、学生工作领域知名的专家（2位国内知名的省外专家，2位省内知名专家），分期（场）送培到校，进行集中授课或精准指导。</w:t>
            </w:r>
          </w:p>
          <w:p>
            <w:pPr>
              <w:pStyle w:val="null3"/>
              <w:ind w:firstLine="640"/>
              <w:jc w:val="left"/>
            </w:pPr>
            <w:r>
              <w:rPr>
                <w:rFonts w:ascii="仿宋_GB2312" w:hAnsi="仿宋_GB2312" w:cs="仿宋_GB2312" w:eastAsia="仿宋_GB2312"/>
                <w:sz w:val="32"/>
              </w:rPr>
              <w:t>4.校外培训期间，应为参训教师购买必要的人身意外险；参训教师住宿标准不得超过西安市有关规定。</w:t>
            </w:r>
          </w:p>
          <w:p>
            <w:pPr>
              <w:pStyle w:val="null3"/>
              <w:ind w:firstLine="640"/>
              <w:jc w:val="left"/>
            </w:pPr>
            <w:r>
              <w:rPr>
                <w:rFonts w:ascii="仿宋_GB2312" w:hAnsi="仿宋_GB2312" w:cs="仿宋_GB2312" w:eastAsia="仿宋_GB2312"/>
                <w:sz w:val="32"/>
              </w:rPr>
              <w:t>5.三个模块的培训时间、培训内容、培训专家需经学校确认后执行。</w:t>
            </w:r>
          </w:p>
          <w:tbl>
            <w:tblPr>
              <w:tblBorders>
                <w:top w:val="none" w:color="000000" w:sz="4"/>
                <w:left w:val="none" w:color="000000" w:sz="4"/>
                <w:bottom w:val="none" w:color="000000" w:sz="4"/>
                <w:right w:val="none" w:color="000000" w:sz="4"/>
                <w:insideH w:val="none"/>
                <w:insideV w:val="none"/>
              </w:tblBorders>
            </w:tblPr>
            <w:tblGrid>
              <w:gridCol w:w="153"/>
              <w:gridCol w:w="362"/>
              <w:gridCol w:w="438"/>
              <w:gridCol w:w="221"/>
              <w:gridCol w:w="323"/>
              <w:gridCol w:w="336"/>
              <w:gridCol w:w="400"/>
              <w:gridCol w:w="319"/>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3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培训模块</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主要培训内容</w:t>
                  </w:r>
                </w:p>
              </w:tc>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参训人数</w:t>
                  </w:r>
                </w:p>
              </w:tc>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培训地点</w:t>
                  </w:r>
                </w:p>
              </w:tc>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培训起止时间</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培训总学时数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其他要求</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辅导员核心能力提升模块（</w:t>
                  </w:r>
                  <w:r>
                    <w:rPr>
                      <w:rFonts w:ascii="仿宋_GB2312" w:hAnsi="仿宋_GB2312" w:cs="仿宋_GB2312" w:eastAsia="仿宋_GB2312"/>
                      <w:sz w:val="28"/>
                    </w:rPr>
                    <w:t>1期）</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中央精神解读、职业规划、心理健康与危机应对、人工智能赋能学生工作、辅导员队伍建设与素质培养等</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50人</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rPr>
                    <w:t>省外，教育部</w:t>
                  </w:r>
                  <w:r>
                    <w:rPr>
                      <w:rFonts w:ascii="仿宋_GB2312" w:hAnsi="仿宋_GB2312" w:cs="仿宋_GB2312" w:eastAsia="仿宋_GB2312"/>
                      <w:sz w:val="28"/>
                    </w:rPr>
                    <w:t>高校思想政治工作队伍培训研修中心</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共7天（培训时间不少于5天）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40学时</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含师资费、资料费、管理费、住宿费、伙食费、场地费、往返高铁交通费、市内交通费等</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辅导员</w:t>
                  </w:r>
                  <w:r>
                    <w:rPr>
                      <w:rFonts w:ascii="仿宋_GB2312" w:hAnsi="仿宋_GB2312" w:cs="仿宋_GB2312" w:eastAsia="仿宋_GB2312"/>
                      <w:sz w:val="28"/>
                    </w:rPr>
                    <w:t>党性修养与政治能力提升模块（</w:t>
                  </w:r>
                  <w:r>
                    <w:rPr>
                      <w:rFonts w:ascii="仿宋_GB2312" w:hAnsi="仿宋_GB2312" w:cs="仿宋_GB2312" w:eastAsia="仿宋_GB2312"/>
                      <w:sz w:val="28"/>
                    </w:rPr>
                    <w:t>2期）</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党性锻炼学习、革命历史教育、廉洁文化教育等</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50人/期</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省内，省级教育干部培训基地</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2025年9月至2026年6月分两期，利用双休日举办，每期2.5天（培训时间不少于1.5天）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12学时/期</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含师资费、资料费、管理费、住宿费、伙食费、场地费、往返高铁交通费、市内交通费等</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送培进校模块</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专题培训</w:t>
                  </w:r>
                  <w:r>
                    <w:rPr>
                      <w:rFonts w:ascii="仿宋_GB2312" w:hAnsi="仿宋_GB2312" w:cs="仿宋_GB2312" w:eastAsia="仿宋_GB2312"/>
                      <w:sz w:val="28"/>
                    </w:rPr>
                    <w:t>4期（场）</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全校专兼职辅导员、班主任不少于</w:t>
                  </w:r>
                  <w:r>
                    <w:rPr>
                      <w:rFonts w:ascii="仿宋_GB2312" w:hAnsi="仿宋_GB2312" w:cs="仿宋_GB2312" w:eastAsia="仿宋_GB2312"/>
                      <w:sz w:val="28"/>
                    </w:rPr>
                    <w:t>100人</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学校</w:t>
                  </w:r>
                </w:p>
              </w:tc>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2025年9月至2026年6月分期（场）举办，每期（场）0.5天</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不少于</w:t>
                  </w:r>
                  <w:r>
                    <w:rPr>
                      <w:rFonts w:ascii="仿宋_GB2312" w:hAnsi="仿宋_GB2312" w:cs="仿宋_GB2312" w:eastAsia="仿宋_GB2312"/>
                      <w:sz w:val="28"/>
                    </w:rPr>
                    <w:t>4学时/期（场）</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含所聘授课专家讲座费、住宿费、餐饮、往返交通费等</w:t>
                  </w:r>
                </w:p>
              </w:tc>
            </w:tr>
          </w:tbl>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、服务要求</w:t>
            </w:r>
          </w:p>
          <w:p>
            <w:pPr>
              <w:pStyle w:val="null3"/>
              <w:ind w:firstLine="640"/>
              <w:jc w:val="both"/>
            </w:pPr>
            <w:r>
              <w:rPr>
                <w:rFonts w:ascii="仿宋_GB2312" w:hAnsi="仿宋_GB2312" w:cs="仿宋_GB2312" w:eastAsia="仿宋_GB2312"/>
                <w:sz w:val="32"/>
              </w:rPr>
              <w:t>1.承办单位需要负责制定培训计划（包括培训内容、课程设置等）。并负责按照培训计划安排聘请有关领导、知名专家和教授进行讲授。负责安排参训的学员的接待、组织工作，为学员提供必要的交流讨论场所。</w:t>
            </w:r>
          </w:p>
          <w:p>
            <w:pPr>
              <w:pStyle w:val="null3"/>
              <w:ind w:firstLine="640"/>
              <w:jc w:val="both"/>
            </w:pPr>
            <w:r>
              <w:rPr>
                <w:rFonts w:ascii="仿宋_GB2312" w:hAnsi="仿宋_GB2312" w:cs="仿宋_GB2312" w:eastAsia="仿宋_GB2312"/>
                <w:sz w:val="32"/>
              </w:rPr>
              <w:t>2.承办单位应派遣认真负责的对接老师负责培训工作，并在培训期间有1-2名带班老师全程跟班。</w:t>
            </w:r>
          </w:p>
          <w:p>
            <w:pPr>
              <w:pStyle w:val="null3"/>
              <w:ind w:firstLine="640"/>
              <w:jc w:val="both"/>
            </w:pPr>
            <w:r>
              <w:rPr>
                <w:rFonts w:ascii="仿宋_GB2312" w:hAnsi="仿宋_GB2312" w:cs="仿宋_GB2312" w:eastAsia="仿宋_GB2312"/>
                <w:sz w:val="32"/>
              </w:rPr>
              <w:t>3.授课师资应为国、省内相关领域知名专家，具体培训时间、培训内容和安排由承办单位与学校确认后实施。</w:t>
            </w:r>
          </w:p>
          <w:p>
            <w:pPr>
              <w:pStyle w:val="null3"/>
              <w:ind w:firstLine="640"/>
              <w:jc w:val="both"/>
            </w:pPr>
            <w:r>
              <w:rPr>
                <w:rFonts w:ascii="仿宋_GB2312" w:hAnsi="仿宋_GB2312" w:cs="仿宋_GB2312" w:eastAsia="仿宋_GB2312"/>
                <w:sz w:val="32"/>
              </w:rPr>
              <w:t>4.培训项目结束后，参训人员总体满意度不低于85%。</w:t>
            </w:r>
          </w:p>
          <w:p>
            <w:pPr>
              <w:pStyle w:val="null3"/>
              <w:ind w:firstLine="640"/>
              <w:jc w:val="both"/>
            </w:pPr>
            <w:r>
              <w:rPr>
                <w:rFonts w:ascii="仿宋_GB2312" w:hAnsi="仿宋_GB2312" w:cs="仿宋_GB2312" w:eastAsia="仿宋_GB2312"/>
                <w:sz w:val="32"/>
              </w:rPr>
              <w:t>三、商务要求</w:t>
            </w:r>
            <w:r>
              <w:rPr>
                <w:rFonts w:ascii="仿宋_GB2312" w:hAnsi="仿宋_GB2312" w:cs="仿宋_GB2312" w:eastAsia="仿宋_GB2312"/>
                <w:sz w:val="28"/>
                <w:b/>
                <w:color w:val="3498DB"/>
              </w:rPr>
              <w:t>★(本项为实质性要求，不可负偏离)</w:t>
            </w:r>
          </w:p>
          <w:p>
            <w:pPr>
              <w:pStyle w:val="null3"/>
              <w:ind w:firstLine="640"/>
              <w:jc w:val="both"/>
            </w:pPr>
            <w:r>
              <w:rPr>
                <w:rFonts w:ascii="仿宋_GB2312" w:hAnsi="仿宋_GB2312" w:cs="仿宋_GB2312" w:eastAsia="仿宋_GB2312"/>
                <w:sz w:val="32"/>
              </w:rPr>
              <w:t>（一）服务期限</w:t>
            </w:r>
          </w:p>
          <w:p>
            <w:pPr>
              <w:pStyle w:val="null3"/>
              <w:ind w:firstLine="628"/>
              <w:jc w:val="both"/>
            </w:pPr>
            <w:r>
              <w:rPr>
                <w:rFonts w:ascii="仿宋_GB2312" w:hAnsi="仿宋_GB2312" w:cs="仿宋_GB2312" w:eastAsia="仿宋_GB2312"/>
                <w:sz w:val="32"/>
              </w:rPr>
              <w:t>服务期限：</w:t>
            </w:r>
            <w:r>
              <w:rPr>
                <w:rFonts w:ascii="仿宋_GB2312" w:hAnsi="仿宋_GB2312" w:cs="仿宋_GB2312" w:eastAsia="仿宋_GB2312"/>
                <w:sz w:val="32"/>
                <w:u w:val="single"/>
              </w:rPr>
              <w:t>2025</w:t>
            </w:r>
            <w:r>
              <w:rPr>
                <w:rFonts w:ascii="仿宋_GB2312" w:hAnsi="仿宋_GB2312" w:cs="仿宋_GB2312" w:eastAsia="仿宋_GB2312"/>
                <w:sz w:val="32"/>
              </w:rPr>
              <w:t>年</w:t>
            </w:r>
            <w:r>
              <w:rPr>
                <w:rFonts w:ascii="仿宋_GB2312" w:hAnsi="仿宋_GB2312" w:cs="仿宋_GB2312" w:eastAsia="仿宋_GB2312"/>
                <w:sz w:val="32"/>
                <w:u w:val="single"/>
              </w:rPr>
              <w:t>8</w:t>
            </w:r>
            <w:r>
              <w:rPr>
                <w:rFonts w:ascii="仿宋_GB2312" w:hAnsi="仿宋_GB2312" w:cs="仿宋_GB2312" w:eastAsia="仿宋_GB2312"/>
                <w:sz w:val="32"/>
              </w:rPr>
              <w:t>月至</w:t>
            </w:r>
            <w:r>
              <w:rPr>
                <w:rFonts w:ascii="仿宋_GB2312" w:hAnsi="仿宋_GB2312" w:cs="仿宋_GB2312" w:eastAsia="仿宋_GB2312"/>
                <w:sz w:val="32"/>
                <w:u w:val="single"/>
              </w:rPr>
              <w:t>2026</w:t>
            </w:r>
            <w:r>
              <w:rPr>
                <w:rFonts w:ascii="仿宋_GB2312" w:hAnsi="仿宋_GB2312" w:cs="仿宋_GB2312" w:eastAsia="仿宋_GB2312"/>
                <w:sz w:val="32"/>
              </w:rPr>
              <w:t>年</w:t>
            </w:r>
            <w:r>
              <w:rPr>
                <w:rFonts w:ascii="仿宋_GB2312" w:hAnsi="仿宋_GB2312" w:cs="仿宋_GB2312" w:eastAsia="仿宋_GB2312"/>
                <w:sz w:val="32"/>
                <w:u w:val="single"/>
              </w:rPr>
              <w:t>7</w:t>
            </w:r>
            <w:r>
              <w:rPr>
                <w:rFonts w:ascii="仿宋_GB2312" w:hAnsi="仿宋_GB2312" w:cs="仿宋_GB2312" w:eastAsia="仿宋_GB2312"/>
                <w:sz w:val="32"/>
              </w:rPr>
              <w:t>月</w:t>
            </w:r>
          </w:p>
          <w:p>
            <w:pPr>
              <w:pStyle w:val="null3"/>
              <w:ind w:firstLine="640"/>
              <w:jc w:val="both"/>
            </w:pPr>
            <w:r>
              <w:rPr>
                <w:rFonts w:ascii="仿宋_GB2312" w:hAnsi="仿宋_GB2312" w:cs="仿宋_GB2312" w:eastAsia="仿宋_GB2312"/>
                <w:sz w:val="32"/>
              </w:rPr>
              <w:t>（二）款项结算</w:t>
            </w:r>
          </w:p>
          <w:p>
            <w:pPr>
              <w:pStyle w:val="null3"/>
              <w:ind w:firstLine="640"/>
              <w:jc w:val="both"/>
            </w:pPr>
            <w:r>
              <w:rPr>
                <w:rFonts w:ascii="仿宋_GB2312" w:hAnsi="仿宋_GB2312" w:cs="仿宋_GB2312" w:eastAsia="仿宋_GB2312"/>
                <w:sz w:val="32"/>
                <w:color w:val="000000"/>
              </w:rPr>
              <w:t>合同签订后十个工作日内，预付合同金额的</w:t>
            </w:r>
            <w:r>
              <w:rPr>
                <w:rFonts w:ascii="仿宋_GB2312" w:hAnsi="仿宋_GB2312" w:cs="仿宋_GB2312" w:eastAsia="仿宋_GB2312"/>
                <w:sz w:val="32"/>
                <w:color w:val="0000FF"/>
                <w:u w:val="single"/>
              </w:rPr>
              <w:t>6</w:t>
            </w:r>
            <w:r>
              <w:rPr>
                <w:rFonts w:ascii="仿宋_GB2312" w:hAnsi="仿宋_GB2312" w:cs="仿宋_GB2312" w:eastAsia="仿宋_GB2312"/>
                <w:sz w:val="32"/>
                <w:color w:val="000000"/>
              </w:rPr>
              <w:t>0%</w:t>
            </w:r>
            <w:r>
              <w:rPr>
                <w:rFonts w:ascii="仿宋_GB2312" w:hAnsi="仿宋_GB2312" w:cs="仿宋_GB2312" w:eastAsia="仿宋_GB2312"/>
                <w:sz w:val="32"/>
                <w:color w:val="000000"/>
              </w:rPr>
              <w:t>款项；全部模块培训结束后，经验收合格，支付剩余</w:t>
            </w:r>
            <w:r>
              <w:rPr>
                <w:rFonts w:ascii="仿宋_GB2312" w:hAnsi="仿宋_GB2312" w:cs="仿宋_GB2312" w:eastAsia="仿宋_GB2312"/>
                <w:sz w:val="32"/>
                <w:color w:val="0000FF"/>
                <w:u w:val="single"/>
              </w:rPr>
              <w:t>4</w:t>
            </w:r>
            <w:r>
              <w:rPr>
                <w:rFonts w:ascii="仿宋_GB2312" w:hAnsi="仿宋_GB2312" w:cs="仿宋_GB2312" w:eastAsia="仿宋_GB2312"/>
                <w:sz w:val="32"/>
                <w:color w:val="000000"/>
              </w:rPr>
              <w:t>0%</w:t>
            </w:r>
            <w:r>
              <w:rPr>
                <w:rFonts w:ascii="仿宋_GB2312" w:hAnsi="仿宋_GB2312" w:cs="仿宋_GB2312" w:eastAsia="仿宋_GB2312"/>
                <w:sz w:val="32"/>
                <w:color w:val="000000"/>
              </w:rPr>
              <w:t>款项。</w:t>
            </w:r>
          </w:p>
          <w:p>
            <w:pPr>
              <w:pStyle w:val="null3"/>
              <w:ind w:firstLine="640"/>
              <w:jc w:val="both"/>
            </w:pPr>
            <w:r>
              <w:rPr>
                <w:rFonts w:ascii="仿宋_GB2312" w:hAnsi="仿宋_GB2312" w:cs="仿宋_GB2312" w:eastAsia="仿宋_GB2312"/>
                <w:sz w:val="32"/>
                <w:color w:val="000000"/>
              </w:rPr>
              <w:t>（三）</w:t>
            </w:r>
            <w:r>
              <w:rPr>
                <w:rFonts w:ascii="仿宋_GB2312" w:hAnsi="仿宋_GB2312" w:cs="仿宋_GB2312" w:eastAsia="仿宋_GB2312"/>
                <w:sz w:val="32"/>
                <w:color w:val="000000"/>
              </w:rPr>
              <w:t>履约保证金</w:t>
            </w:r>
          </w:p>
          <w:p>
            <w:pPr>
              <w:pStyle w:val="null3"/>
              <w:ind w:firstLine="640"/>
              <w:jc w:val="both"/>
            </w:pPr>
            <w:r>
              <w:rPr>
                <w:rFonts w:ascii="仿宋_GB2312" w:hAnsi="仿宋_GB2312" w:cs="仿宋_GB2312" w:eastAsia="仿宋_GB2312"/>
                <w:sz w:val="32"/>
                <w:color w:val="000000"/>
              </w:rPr>
              <w:t>1.</w:t>
            </w:r>
            <w:r>
              <w:rPr>
                <w:rFonts w:ascii="仿宋_GB2312" w:hAnsi="仿宋_GB2312" w:cs="仿宋_GB2312" w:eastAsia="仿宋_GB2312"/>
                <w:sz w:val="32"/>
                <w:color w:val="000000"/>
              </w:rPr>
              <w:t>履约保证金交纳时间：供应商应在签订合同前须将履约保证金交至西安市财政局预算单位实有资金财政代管账户，其数额为合同金额的</w:t>
            </w:r>
            <w:r>
              <w:rPr>
                <w:rFonts w:ascii="仿宋_GB2312" w:hAnsi="仿宋_GB2312" w:cs="仿宋_GB2312" w:eastAsia="仿宋_GB2312"/>
                <w:sz w:val="32"/>
                <w:color w:val="000000"/>
              </w:rPr>
              <w:t>5%</w:t>
            </w:r>
            <w:r>
              <w:rPr>
                <w:rFonts w:ascii="仿宋_GB2312" w:hAnsi="仿宋_GB2312" w:cs="仿宋_GB2312" w:eastAsia="仿宋_GB2312"/>
                <w:sz w:val="32"/>
                <w:color w:val="000000"/>
              </w:rPr>
              <w:t>。</w:t>
            </w:r>
          </w:p>
          <w:p>
            <w:pPr>
              <w:pStyle w:val="null3"/>
              <w:ind w:firstLine="640"/>
              <w:jc w:val="both"/>
            </w:pPr>
            <w:r>
              <w:rPr>
                <w:rFonts w:ascii="仿宋_GB2312" w:hAnsi="仿宋_GB2312" w:cs="仿宋_GB2312" w:eastAsia="仿宋_GB2312"/>
                <w:sz w:val="32"/>
                <w:color w:val="000000"/>
              </w:rPr>
              <w:t>2.</w:t>
            </w:r>
            <w:r>
              <w:rPr>
                <w:rFonts w:ascii="仿宋_GB2312" w:hAnsi="仿宋_GB2312" w:cs="仿宋_GB2312" w:eastAsia="仿宋_GB2312"/>
                <w:sz w:val="32"/>
                <w:color w:val="000000"/>
              </w:rPr>
              <w:t>履约保证金的缴纳形式：供应商可自主选择银行对公转账、电汇或以支票、保函等非现金形式交纳。</w:t>
            </w:r>
          </w:p>
          <w:p>
            <w:pPr>
              <w:pStyle w:val="null3"/>
              <w:ind w:firstLine="640"/>
              <w:jc w:val="both"/>
            </w:pPr>
            <w:r>
              <w:rPr>
                <w:rFonts w:ascii="仿宋_GB2312" w:hAnsi="仿宋_GB2312" w:cs="仿宋_GB2312" w:eastAsia="仿宋_GB2312"/>
                <w:sz w:val="32"/>
                <w:color w:val="000000"/>
              </w:rPr>
              <w:t>3.</w:t>
            </w:r>
            <w:r>
              <w:rPr>
                <w:rFonts w:ascii="仿宋_GB2312" w:hAnsi="仿宋_GB2312" w:cs="仿宋_GB2312" w:eastAsia="仿宋_GB2312"/>
                <w:sz w:val="32"/>
                <w:color w:val="000000"/>
              </w:rPr>
              <w:t>履约保证金的退还：项目验收合格后，成交供应商向采购人提交双方约定的所有档案资料</w:t>
            </w:r>
            <w:r>
              <w:rPr>
                <w:rFonts w:ascii="仿宋_GB2312" w:hAnsi="仿宋_GB2312" w:cs="仿宋_GB2312" w:eastAsia="仿宋_GB2312"/>
                <w:sz w:val="32"/>
                <w:color w:val="000000"/>
              </w:rPr>
              <w:t>(</w:t>
            </w:r>
            <w:r>
              <w:rPr>
                <w:rFonts w:ascii="仿宋_GB2312" w:hAnsi="仿宋_GB2312" w:cs="仿宋_GB2312" w:eastAsia="仿宋_GB2312"/>
                <w:sz w:val="32"/>
                <w:color w:val="000000"/>
              </w:rPr>
              <w:t>三份纸质版，一份电子版</w:t>
            </w:r>
            <w:r>
              <w:rPr>
                <w:rFonts w:ascii="仿宋_GB2312" w:hAnsi="仿宋_GB2312" w:cs="仿宋_GB2312" w:eastAsia="仿宋_GB2312"/>
                <w:sz w:val="32"/>
                <w:color w:val="000000"/>
              </w:rPr>
              <w:t>)</w:t>
            </w:r>
            <w:r>
              <w:rPr>
                <w:rFonts w:ascii="仿宋_GB2312" w:hAnsi="仿宋_GB2312" w:cs="仿宋_GB2312" w:eastAsia="仿宋_GB2312"/>
                <w:sz w:val="32"/>
                <w:color w:val="000000"/>
              </w:rPr>
              <w:t>，并持《申请支付履约保证金的函》到采购人办理相关手续后，采购人于</w:t>
            </w:r>
            <w:r>
              <w:rPr>
                <w:rFonts w:ascii="仿宋_GB2312" w:hAnsi="仿宋_GB2312" w:cs="仿宋_GB2312" w:eastAsia="仿宋_GB2312"/>
                <w:sz w:val="32"/>
                <w:color w:val="000000"/>
              </w:rPr>
              <w:t>30</w:t>
            </w:r>
            <w:r>
              <w:rPr>
                <w:rFonts w:ascii="仿宋_GB2312" w:hAnsi="仿宋_GB2312" w:cs="仿宋_GB2312" w:eastAsia="仿宋_GB2312"/>
                <w:sz w:val="32"/>
                <w:color w:val="000000"/>
              </w:rPr>
              <w:t>日内向成交供应商无息退还。</w:t>
            </w:r>
          </w:p>
          <w:p>
            <w:pPr>
              <w:pStyle w:val="null3"/>
              <w:ind w:firstLine="640"/>
              <w:jc w:val="both"/>
            </w:pPr>
            <w:r>
              <w:rPr>
                <w:rFonts w:ascii="仿宋_GB2312" w:hAnsi="仿宋_GB2312" w:cs="仿宋_GB2312" w:eastAsia="仿宋_GB2312"/>
                <w:sz w:val="32"/>
                <w:color w:val="000000"/>
              </w:rPr>
              <w:t>4.</w:t>
            </w:r>
            <w:r>
              <w:rPr>
                <w:rFonts w:ascii="仿宋_GB2312" w:hAnsi="仿宋_GB2312" w:cs="仿宋_GB2312" w:eastAsia="仿宋_GB2312"/>
                <w:sz w:val="32"/>
                <w:color w:val="000000"/>
              </w:rPr>
              <w:t>履约保证金收取账号信息：</w:t>
            </w:r>
          </w:p>
          <w:p>
            <w:pPr>
              <w:pStyle w:val="null3"/>
              <w:ind w:firstLine="640"/>
              <w:jc w:val="both"/>
            </w:pPr>
            <w:r>
              <w:rPr>
                <w:rFonts w:ascii="仿宋_GB2312" w:hAnsi="仿宋_GB2312" w:cs="仿宋_GB2312" w:eastAsia="仿宋_GB2312"/>
                <w:sz w:val="32"/>
                <w:color w:val="000000"/>
              </w:rPr>
              <w:t>名称</w:t>
            </w:r>
            <w:r>
              <w:rPr>
                <w:rFonts w:ascii="仿宋_GB2312" w:hAnsi="仿宋_GB2312" w:cs="仿宋_GB2312" w:eastAsia="仿宋_GB2312"/>
                <w:sz w:val="32"/>
                <w:color w:val="000000"/>
              </w:rPr>
              <w:t>:</w:t>
            </w:r>
            <w:r>
              <w:rPr>
                <w:rFonts w:ascii="仿宋_GB2312" w:hAnsi="仿宋_GB2312" w:cs="仿宋_GB2312" w:eastAsia="仿宋_GB2312"/>
                <w:sz w:val="32"/>
                <w:color w:val="000000"/>
              </w:rPr>
              <w:t>西安市财政局预算单位实有资金财政代管账户</w:t>
            </w:r>
          </w:p>
          <w:p>
            <w:pPr>
              <w:pStyle w:val="null3"/>
              <w:ind w:firstLine="640"/>
              <w:jc w:val="both"/>
            </w:pPr>
            <w:r>
              <w:rPr>
                <w:rFonts w:ascii="仿宋_GB2312" w:hAnsi="仿宋_GB2312" w:cs="仿宋_GB2312" w:eastAsia="仿宋_GB2312"/>
                <w:sz w:val="32"/>
                <w:color w:val="000000"/>
              </w:rPr>
              <w:t>开户银行</w:t>
            </w:r>
            <w:r>
              <w:rPr>
                <w:rFonts w:ascii="仿宋_GB2312" w:hAnsi="仿宋_GB2312" w:cs="仿宋_GB2312" w:eastAsia="仿宋_GB2312"/>
                <w:sz w:val="32"/>
                <w:color w:val="000000"/>
              </w:rPr>
              <w:t>:</w:t>
            </w:r>
            <w:r>
              <w:rPr>
                <w:rFonts w:ascii="仿宋_GB2312" w:hAnsi="仿宋_GB2312" w:cs="仿宋_GB2312" w:eastAsia="仿宋_GB2312"/>
                <w:sz w:val="32"/>
                <w:color w:val="000000"/>
              </w:rPr>
              <w:t>中国建设银行股份有限公司西安莲湖路支行</w:t>
            </w:r>
          </w:p>
          <w:p>
            <w:pPr>
              <w:pStyle w:val="null3"/>
              <w:ind w:firstLine="640"/>
              <w:jc w:val="both"/>
            </w:pPr>
            <w:r>
              <w:rPr>
                <w:rFonts w:ascii="仿宋_GB2312" w:hAnsi="仿宋_GB2312" w:cs="仿宋_GB2312" w:eastAsia="仿宋_GB2312"/>
                <w:sz w:val="32"/>
                <w:color w:val="000000"/>
              </w:rPr>
              <w:t>银行账号</w:t>
            </w:r>
            <w:r>
              <w:rPr>
                <w:rFonts w:ascii="仿宋_GB2312" w:hAnsi="仿宋_GB2312" w:cs="仿宋_GB2312" w:eastAsia="仿宋_GB2312"/>
                <w:sz w:val="32"/>
                <w:color w:val="000000"/>
              </w:rPr>
              <w:t>:61001711100052518874-203033</w:t>
            </w:r>
          </w:p>
          <w:p>
            <w:pPr>
              <w:pStyle w:val="null3"/>
              <w:ind w:firstLine="640"/>
              <w:jc w:val="both"/>
            </w:pPr>
            <w:r>
              <w:rPr>
                <w:rFonts w:ascii="仿宋_GB2312" w:hAnsi="仿宋_GB2312" w:cs="仿宋_GB2312" w:eastAsia="仿宋_GB2312"/>
                <w:sz w:val="32"/>
                <w:color w:val="000000"/>
              </w:rPr>
              <w:t>纳税人识别号</w:t>
            </w:r>
            <w:r>
              <w:rPr>
                <w:rFonts w:ascii="仿宋_GB2312" w:hAnsi="仿宋_GB2312" w:cs="仿宋_GB2312" w:eastAsia="仿宋_GB2312"/>
                <w:sz w:val="32"/>
                <w:color w:val="000000"/>
              </w:rPr>
              <w:t>:12610100437202545W</w:t>
            </w:r>
          </w:p>
          <w:p>
            <w:pPr>
              <w:pStyle w:val="null3"/>
              <w:ind w:firstLine="640"/>
              <w:jc w:val="both"/>
            </w:pPr>
            <w:r>
              <w:rPr>
                <w:rFonts w:ascii="仿宋_GB2312" w:hAnsi="仿宋_GB2312" w:cs="仿宋_GB2312" w:eastAsia="仿宋_GB2312"/>
                <w:sz w:val="32"/>
                <w:color w:val="000000"/>
              </w:rPr>
              <w:t>地址</w:t>
            </w:r>
            <w:r>
              <w:rPr>
                <w:rFonts w:ascii="仿宋_GB2312" w:hAnsi="仿宋_GB2312" w:cs="仿宋_GB2312" w:eastAsia="仿宋_GB2312"/>
                <w:sz w:val="32"/>
                <w:color w:val="000000"/>
              </w:rPr>
              <w:t>:</w:t>
            </w:r>
            <w:r>
              <w:rPr>
                <w:rFonts w:ascii="仿宋_GB2312" w:hAnsi="仿宋_GB2312" w:cs="仿宋_GB2312" w:eastAsia="仿宋_GB2312"/>
                <w:sz w:val="32"/>
                <w:color w:val="000000"/>
              </w:rPr>
              <w:t xml:space="preserve">西安市灞桥区港务大道 </w:t>
            </w:r>
            <w:r>
              <w:rPr>
                <w:rFonts w:ascii="仿宋_GB2312" w:hAnsi="仿宋_GB2312" w:cs="仿宋_GB2312" w:eastAsia="仿宋_GB2312"/>
                <w:sz w:val="32"/>
                <w:color w:val="000000"/>
              </w:rPr>
              <w:t>396</w:t>
            </w:r>
            <w:r>
              <w:rPr>
                <w:rFonts w:ascii="仿宋_GB2312" w:hAnsi="仿宋_GB2312" w:cs="仿宋_GB2312" w:eastAsia="仿宋_GB2312"/>
                <w:sz w:val="32"/>
                <w:color w:val="000000"/>
              </w:rPr>
              <w:t>号</w:t>
            </w:r>
          </w:p>
          <w:p>
            <w:pPr>
              <w:pStyle w:val="null3"/>
              <w:ind w:firstLine="640"/>
              <w:jc w:val="both"/>
            </w:pPr>
            <w:r>
              <w:rPr>
                <w:rFonts w:ascii="仿宋_GB2312" w:hAnsi="仿宋_GB2312" w:cs="仿宋_GB2312" w:eastAsia="仿宋_GB2312"/>
                <w:sz w:val="32"/>
                <w:color w:val="000000"/>
              </w:rPr>
              <w:t>电话：</w:t>
            </w:r>
            <w:r>
              <w:rPr>
                <w:rFonts w:ascii="仿宋_GB2312" w:hAnsi="仿宋_GB2312" w:cs="仿宋_GB2312" w:eastAsia="仿宋_GB2312"/>
                <w:sz w:val="32"/>
                <w:color w:val="000000"/>
              </w:rPr>
              <w:t>029-88092201</w:t>
            </w:r>
          </w:p>
          <w:p>
            <w:pPr>
              <w:pStyle w:val="null3"/>
              <w:ind w:firstLine="640"/>
              <w:jc w:val="both"/>
            </w:pPr>
            <w:r>
              <w:rPr>
                <w:rFonts w:ascii="仿宋_GB2312" w:hAnsi="仿宋_GB2312" w:cs="仿宋_GB2312" w:eastAsia="仿宋_GB2312"/>
                <w:sz w:val="32"/>
              </w:rPr>
              <w:t>四、其他</w:t>
            </w:r>
            <w:r>
              <w:rPr>
                <w:rFonts w:ascii="仿宋_GB2312" w:hAnsi="仿宋_GB2312" w:cs="仿宋_GB2312" w:eastAsia="仿宋_GB2312"/>
                <w:sz w:val="28"/>
                <w:b/>
                <w:color w:val="3498DB"/>
              </w:rPr>
              <w:t>★(本项为实质性要求，不可负偏离)</w:t>
            </w:r>
          </w:p>
          <w:p>
            <w:pPr>
              <w:pStyle w:val="null3"/>
              <w:ind w:firstLine="628"/>
              <w:jc w:val="left"/>
            </w:pPr>
            <w:r>
              <w:rPr>
                <w:rFonts w:ascii="仿宋_GB2312" w:hAnsi="仿宋_GB2312" w:cs="仿宋_GB2312" w:eastAsia="仿宋_GB2312"/>
                <w:sz w:val="32"/>
              </w:rPr>
              <w:t>1.违约责任：如双方发生争议，由双方友好协商解决，或根据《中华人民共和国民法典》有关规定进行解决。经上述解决方式无果时，按法律程序向学校所在地人民法院提起诉讼。</w:t>
            </w:r>
          </w:p>
          <w:p>
            <w:pPr>
              <w:pStyle w:val="null3"/>
              <w:ind w:firstLine="628"/>
              <w:jc w:val="left"/>
            </w:pPr>
            <w:r>
              <w:rPr>
                <w:rFonts w:ascii="仿宋_GB2312" w:hAnsi="仿宋_GB2312" w:cs="仿宋_GB2312" w:eastAsia="仿宋_GB2312"/>
                <w:sz w:val="32"/>
              </w:rPr>
              <w:t>2.验收条件：</w:t>
            </w:r>
          </w:p>
          <w:p>
            <w:pPr>
              <w:pStyle w:val="null3"/>
              <w:ind w:firstLine="628"/>
              <w:jc w:val="left"/>
            </w:pPr>
            <w:r>
              <w:rPr>
                <w:rFonts w:ascii="仿宋_GB2312" w:hAnsi="仿宋_GB2312" w:cs="仿宋_GB2312" w:eastAsia="仿宋_GB2312"/>
                <w:sz w:val="32"/>
              </w:rPr>
              <w:t>2.1培训课程内容的完整性。培训课程内容是否丰富全面，安排是否合理，是否能够满足学校和参训人员需要。</w:t>
            </w:r>
          </w:p>
          <w:p>
            <w:pPr>
              <w:pStyle w:val="null3"/>
              <w:ind w:firstLine="628"/>
              <w:jc w:val="left"/>
            </w:pPr>
            <w:r>
              <w:rPr>
                <w:rFonts w:ascii="仿宋_GB2312" w:hAnsi="仿宋_GB2312" w:cs="仿宋_GB2312" w:eastAsia="仿宋_GB2312"/>
                <w:sz w:val="32"/>
              </w:rPr>
              <w:t>2.2培训方法的科学性。培训方法是否科学、针对性强，是否能够有效提升参训人员工作能力。</w:t>
            </w:r>
          </w:p>
          <w:p>
            <w:pPr>
              <w:pStyle w:val="null3"/>
              <w:ind w:firstLine="628"/>
              <w:jc w:val="left"/>
            </w:pPr>
            <w:r>
              <w:rPr>
                <w:rFonts w:ascii="仿宋_GB2312" w:hAnsi="仿宋_GB2312" w:cs="仿宋_GB2312" w:eastAsia="仿宋_GB2312"/>
                <w:sz w:val="32"/>
              </w:rPr>
              <w:t>2.3培训师资的专业性。培训师资是否在本专业领域具有较深的研究和较高的知名度，是否能为参训教师提供有效指导和帮助。</w:t>
            </w:r>
          </w:p>
          <w:p>
            <w:pPr>
              <w:pStyle w:val="null3"/>
              <w:ind w:firstLine="628"/>
              <w:jc w:val="left"/>
            </w:pPr>
            <w:r>
              <w:rPr>
                <w:rFonts w:ascii="仿宋_GB2312" w:hAnsi="仿宋_GB2312" w:cs="仿宋_GB2312" w:eastAsia="仿宋_GB2312"/>
                <w:sz w:val="32"/>
              </w:rPr>
              <w:t>2.4培训成果的有效性。参训教师应100%获得培训结业证书。</w:t>
            </w:r>
          </w:p>
          <w:p>
            <w:pPr>
              <w:pStyle w:val="null3"/>
              <w:ind w:firstLine="628"/>
              <w:jc w:val="left"/>
            </w:pPr>
            <w:r>
              <w:rPr>
                <w:rFonts w:ascii="仿宋_GB2312" w:hAnsi="仿宋_GB2312" w:cs="仿宋_GB2312" w:eastAsia="仿宋_GB2312"/>
                <w:sz w:val="32"/>
              </w:rPr>
              <w:t>以上验收指标可通过发放调查问卷等形式进行评测，参训教师对培训安排、服务、内容、质量和成效的总体满意度不低于</w:t>
            </w:r>
            <w:r>
              <w:rPr>
                <w:rFonts w:ascii="仿宋_GB2312" w:hAnsi="仿宋_GB2312" w:cs="仿宋_GB2312" w:eastAsia="仿宋_GB2312"/>
                <w:sz w:val="32"/>
              </w:rPr>
              <w:t>85%。</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2025年8月至2026年7月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按照竞争性磋商文件、响应文件、合同协议执行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全部模块培训结束后，经验收合格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套、副本 贰 套、电子版壹 套（U盘一套标明供应商名称），应与线上提交的响应文件保持一致。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分项报价表.docx 承诺.docx 标的清单 报价表 响应函 商务及技术偏离表.docx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独立承担民事责任的能力：合法注册的法人应提供营业执照（或事业法人证）、组织机构代码证、税务登记证或统一社会信用代码的营业执照或其他组织应提供合法证明文件或自然人提供身份证件，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良好的商业信誉和健全的财务会计制度：2024年度经审计的财务报告或在2025年1月1日至今其基本开户银行出具的资信证明（需随附开户证明资料）或财政部门认可的政府采购专业担保机构出具的投标担保函（以上三种形式的资料提供任何一种即可），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有依法缴纳税收和社会保障资金的良好记录：提供时间在2025年1月1日至今任意时段的缴纳证明，提供复印件并进行电子签章；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（1）参加政府采购活动前三年内，在经营活动中没有重大违法记录的书面声明。需进行电子签章；（2）具有履行本合同所必需的设备和专业技术能力的声明，需进行电子签章；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法律、行政法规规定的其他条件：法定代表人直接参加投标的，须提供法定代表人身份证明；法定代表人授权代表参加投标的，须提供法定代表人授权委托书。需提供电子签章。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供应商企业关系关联及联合体说明：单位负责人为同一人或者存在直接控股、管理关系的不同供应商，不得参加同一合同项下的政府采购活动；本项目不允许联合体磋商。提供声明并加盖电子签章。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备注</w:t>
            </w:r>
          </w:p>
        </w:tc>
        <w:tc>
          <w:tcPr>
            <w:tcW w:type="dxa" w:w="3322"/>
          </w:tcPr>
          <w:p>
            <w:pPr>
              <w:pStyle w:val="null3"/>
            </w:pPr>
            <w:r>
              <w:rPr>
                <w:rFonts w:ascii="仿宋_GB2312" w:hAnsi="仿宋_GB2312" w:cs="仿宋_GB2312" w:eastAsia="仿宋_GB2312"/>
              </w:rPr>
              <w:t>备注：（1）以上为供应商必备资格要求，资格证明文件无效或缺项响应文件按无效文件处理。（2）分支机构参与投标时，须提供分支机构符合资格要求的证明文件。（3）书面声明、法定代表人身份证明和法定代表人授权委托书应按竞争性磋商文件的要求填写，响应文件中必须附原件，其他资格证明文件提供复印件并加盖投标人公章。（4）依法免税或不需要缴纳社会保障资金的供应商须提供相应证明文件；事业单位法人可不提供财务状况报告和社会保障资金缴纳证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承诺.docx 中小企业声明函 人员责任制度.docx 报价表 企业实力.docx 资格证明文件.docx 重点难点问题分析及解决方案.docx 响应文件封面 服务质量保证.docx 分项报价表.docx 项目负责人.docx 会务应急保障.docx 残疾人福利性单位声明函 拟投入的设施设备.docx 标的清单 响应函 商务及技术偏离表.docx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符合竞争性磋商文件签字、盖章要求</w:t>
            </w:r>
          </w:p>
        </w:tc>
        <w:tc>
          <w:tcPr>
            <w:tcW w:type="dxa" w:w="1661"/>
          </w:tcPr>
          <w:p>
            <w:pPr>
              <w:pStyle w:val="null3"/>
            </w:pPr>
            <w:r>
              <w:rPr>
                <w:rFonts w:ascii="仿宋_GB2312" w:hAnsi="仿宋_GB2312" w:cs="仿宋_GB2312" w:eastAsia="仿宋_GB2312"/>
              </w:rPr>
              <w:t>响应文件封面 分项报价表.docx 承诺.docx 中小企业声明函 残疾人福利性单位声明函 标的清单 报价表 响应函 商务及技术偏离表.docx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（1）报价符合唯一性要求： （2）报价一览表填写符合要求； （3）计量单位、报价货币均符合磋商文件要求；（4）未超出采购预算或竞争性磋商文件规定的最高限价。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商务要求及其他实质性条款</w:t>
            </w:r>
          </w:p>
        </w:tc>
        <w:tc>
          <w:tcPr>
            <w:tcW w:type="dxa" w:w="3322"/>
          </w:tcPr>
          <w:p>
            <w:pPr>
              <w:pStyle w:val="null3"/>
            </w:pPr>
            <w:r>
              <w:rPr>
                <w:rFonts w:ascii="仿宋_GB2312" w:hAnsi="仿宋_GB2312" w:cs="仿宋_GB2312" w:eastAsia="仿宋_GB2312"/>
              </w:rPr>
              <w:t>要求全面响应，符合竞争性磋商文件相关要求；不能有任何采购人不能接受的附加条件。</w:t>
            </w:r>
          </w:p>
        </w:tc>
        <w:tc>
          <w:tcPr>
            <w:tcW w:type="dxa" w:w="1661"/>
          </w:tcPr>
          <w:p>
            <w:pPr>
              <w:pStyle w:val="null3"/>
            </w:pPr>
            <w:r>
              <w:rPr>
                <w:rFonts w:ascii="仿宋_GB2312" w:hAnsi="仿宋_GB2312" w:cs="仿宋_GB2312" w:eastAsia="仿宋_GB2312"/>
              </w:rPr>
              <w:t>服务质量保证.docx 项目负责人.docx 会务应急保障.docx 承诺.docx 拟投入的设施设备.docx 人员责任制度.docx 企业实力.docx 商务及技术偏离表.docx 服务方案.docx 重点难点问题分析及解决方案.docx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无其他竞争性磋商文件或法规明确规定响应无效的事项</w:t>
            </w:r>
          </w:p>
        </w:tc>
        <w:tc>
          <w:tcPr>
            <w:tcW w:type="dxa" w:w="3322"/>
          </w:tcPr>
          <w:p>
            <w:pPr>
              <w:pStyle w:val="null3"/>
            </w:pPr>
            <w:r>
              <w:rPr>
                <w:rFonts w:ascii="仿宋_GB2312" w:hAnsi="仿宋_GB2312" w:cs="仿宋_GB2312" w:eastAsia="仿宋_GB2312"/>
              </w:rPr>
              <w:t>没有不符合竞争性磋商文件规定的被视为无效响应的其他条款</w:t>
            </w:r>
          </w:p>
        </w:tc>
        <w:tc>
          <w:tcPr>
            <w:tcW w:type="dxa" w:w="1661"/>
          </w:tcPr>
          <w:p>
            <w:pPr>
              <w:pStyle w:val="null3"/>
            </w:pPr>
            <w:r>
              <w:rPr>
                <w:rFonts w:ascii="仿宋_GB2312" w:hAnsi="仿宋_GB2312" w:cs="仿宋_GB2312" w:eastAsia="仿宋_GB2312"/>
              </w:rPr>
              <w:t>承诺.docx 中小企业声明函 人员责任制度.docx 报价表 企业实力.docx 资格证明文件.docx 重点难点问题分析及解决方案.docx 响应文件封面 服务质量保证.docx 分项报价表.docx 项目负责人.docx 会务应急保障.docx 残疾人福利性单位声明函 拟投入的设施设备.docx 标的清单 响应函 商务及技术偏离表.docx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详细评审75.00分</w:t>
            </w:r>
          </w:p>
          <w:p>
            <w:pPr>
              <w:pStyle w:val="null3"/>
            </w:pPr>
            <w:r>
              <w:rPr>
                <w:rFonts w:ascii="仿宋_GB2312" w:hAnsi="仿宋_GB2312" w:cs="仿宋_GB2312" w:eastAsia="仿宋_GB2312"/>
              </w:rPr>
              <w:t>报价得分25.00分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供应商根据对项目的理解，有①对项目的背景和工作目的的理解、②合理的培训会务服务流程、③切实可行的培训会务住宿及就餐安排、④合理的行程安排⑤拟采用的车辆安排、路线安排等。 二、评审标准 1、完整性：方案必须全面，对评审内容中的各项要求有详细描述； 2、可实施性：切合本项目实际情况，可行性强。 3、针对性：方案能够紧扣项目实际情况，内容科学合理。 三、赋分标准（满分22.5分） 每小条中每完全满足三个评审标准得1.5分，满分4.5分。本项满分22.5分。</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 保证</w:t>
            </w:r>
          </w:p>
        </w:tc>
        <w:tc>
          <w:tcPr>
            <w:tcW w:type="dxa" w:w="2492"/>
          </w:tcPr>
          <w:p>
            <w:pPr>
              <w:pStyle w:val="null3"/>
            </w:pPr>
            <w:r>
              <w:rPr>
                <w:rFonts w:ascii="仿宋_GB2312" w:hAnsi="仿宋_GB2312" w:cs="仿宋_GB2312" w:eastAsia="仿宋_GB2312"/>
              </w:rPr>
              <w:t>一、评审内容 供应商需提供①人员专业性的保证措施、②服务质量控制方案、③培训会议顺利召开的的服务质量保证措施等。 二、评审标准 1、完整性：方案必须全面，对评审内容中的各项要求有详细描述； 2、可实施性：切合本项目实际情况，可行性强。 3、针对性：方案能够紧扣项目实际情况，内容科学合理。 三、赋分标准（满分9分） 每小条中每完全满足一个评审标准得1分，满分3分。本项满分9分。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服务质量保证.docx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拟派项目负责人有丰富的相关领域工作经验或者曾承担过类似工作（须提供类似项目合同或甲方评价书或相关证书等材料证明工作），证明材料齐全、完整得2分，否则不得分。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人员责任制度</w:t>
            </w:r>
          </w:p>
        </w:tc>
        <w:tc>
          <w:tcPr>
            <w:tcW w:type="dxa" w:w="2492"/>
          </w:tcPr>
          <w:p>
            <w:pPr>
              <w:pStyle w:val="null3"/>
            </w:pPr>
            <w:r>
              <w:rPr>
                <w:rFonts w:ascii="仿宋_GB2312" w:hAnsi="仿宋_GB2312" w:cs="仿宋_GB2312" w:eastAsia="仿宋_GB2312"/>
              </w:rPr>
              <w:t>一、评审内容 结合本项目实际情况供应商①针对本次采购任务拟投入本项目的人员数量及专业、②责任制度、③人员管理方案； 二、评审标准 1、完整性：方案必须全面，对评审内容中的各项要求有详细描述； 2、可实施性：切合本项目实际情况，可行性强。 3、针对性：方案能够紧扣项目实际情况，内容科学合理。 三、赋分标准（满分9分） 每小条中每完全满足一个评审标准得1分，满分3分。本项满分9分。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人员责任制度.docx</w:t>
            </w:r>
          </w:p>
        </w:tc>
      </w:tr>
      <w:tr>
        <w:tc>
          <w:tcPr>
            <w:tcW w:type="dxa" w:w="831"/>
            <w:vMerge/>
          </w:tcPr>
          <w:p/>
        </w:tc>
        <w:tc>
          <w:tcPr>
            <w:tcW w:type="dxa" w:w="1661"/>
          </w:tcPr>
          <w:p>
            <w:pPr>
              <w:pStyle w:val="null3"/>
            </w:pPr>
            <w:r>
              <w:rPr>
                <w:rFonts w:ascii="仿宋_GB2312" w:hAnsi="仿宋_GB2312" w:cs="仿宋_GB2312" w:eastAsia="仿宋_GB2312"/>
              </w:rPr>
              <w:t>拟投入的设施设备</w:t>
            </w:r>
          </w:p>
        </w:tc>
        <w:tc>
          <w:tcPr>
            <w:tcW w:type="dxa" w:w="2492"/>
          </w:tcPr>
          <w:p>
            <w:pPr>
              <w:pStyle w:val="null3"/>
            </w:pPr>
            <w:r>
              <w:rPr>
                <w:rFonts w:ascii="仿宋_GB2312" w:hAnsi="仿宋_GB2312" w:cs="仿宋_GB2312" w:eastAsia="仿宋_GB2312"/>
              </w:rPr>
              <w:t>一、评审内容 结合本项目实际情况，磋商小组根据各供应商提供的拟合作①酒店房间床位数量及规格配置，②会议室基础配置及功能性，③就餐餐厅及供应品类，④培训会议材料制作场地及设备（佐证材料：提供以上场所的服务协议（若为自有场地不需要提供）及实景照片、设备设施照片等）是否能充分满足本项目需求。 二、评审标准 1、完整性：方案必须全面，对评审内容中的各项要求有详细描述； 2、可实施性：切合本项目实际情况，可行性强。 3、针对性：方案能够紧扣项目实际情况，内容科学合理。 三、赋分标准（满分6分） 每小条中每完全满足一个评审标准得0.5分，满分1.5分，本项满分6分。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拟投入的设施设备.docx</w:t>
            </w:r>
          </w:p>
        </w:tc>
      </w:tr>
      <w:tr>
        <w:tc>
          <w:tcPr>
            <w:tcW w:type="dxa" w:w="831"/>
            <w:vMerge/>
          </w:tcPr>
          <w:p/>
        </w:tc>
        <w:tc>
          <w:tcPr>
            <w:tcW w:type="dxa" w:w="1661"/>
          </w:tcPr>
          <w:p>
            <w:pPr>
              <w:pStyle w:val="null3"/>
            </w:pPr>
            <w:r>
              <w:rPr>
                <w:rFonts w:ascii="仿宋_GB2312" w:hAnsi="仿宋_GB2312" w:cs="仿宋_GB2312" w:eastAsia="仿宋_GB2312"/>
              </w:rPr>
              <w:t>重点难点问题分析及解决方案</w:t>
            </w:r>
          </w:p>
        </w:tc>
        <w:tc>
          <w:tcPr>
            <w:tcW w:type="dxa" w:w="2492"/>
          </w:tcPr>
          <w:p>
            <w:pPr>
              <w:pStyle w:val="null3"/>
            </w:pPr>
            <w:r>
              <w:rPr>
                <w:rFonts w:ascii="仿宋_GB2312" w:hAnsi="仿宋_GB2312" w:cs="仿宋_GB2312" w:eastAsia="仿宋_GB2312"/>
              </w:rPr>
              <w:t>针对本项目采购需求涉及的重点、难点等关键问题罗列清楚，并有相应的技术策略及解决方案，每有一条切实可行的方案得2分，满分6分。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重点难点问题分析及解决方案.docx</w:t>
            </w:r>
          </w:p>
        </w:tc>
      </w:tr>
      <w:tr>
        <w:tc>
          <w:tcPr>
            <w:tcW w:type="dxa" w:w="831"/>
            <w:vMerge/>
          </w:tcPr>
          <w:p/>
        </w:tc>
        <w:tc>
          <w:tcPr>
            <w:tcW w:type="dxa" w:w="1661"/>
          </w:tcPr>
          <w:p>
            <w:pPr>
              <w:pStyle w:val="null3"/>
            </w:pPr>
            <w:r>
              <w:rPr>
                <w:rFonts w:ascii="仿宋_GB2312" w:hAnsi="仿宋_GB2312" w:cs="仿宋_GB2312" w:eastAsia="仿宋_GB2312"/>
              </w:rPr>
              <w:t>会务应急保障</w:t>
            </w:r>
          </w:p>
        </w:tc>
        <w:tc>
          <w:tcPr>
            <w:tcW w:type="dxa" w:w="2492"/>
          </w:tcPr>
          <w:p>
            <w:pPr>
              <w:pStyle w:val="null3"/>
            </w:pPr>
            <w:r>
              <w:rPr>
                <w:rFonts w:ascii="仿宋_GB2312" w:hAnsi="仿宋_GB2312" w:cs="仿宋_GB2312" w:eastAsia="仿宋_GB2312"/>
              </w:rPr>
              <w:t>一、评审内容 供应商能够提供详细的培训会务应急保障措施，①安全类事故预防及应急保障措施、②通信或设备故障的应急措施、③突发自然灾害的应急保障措施、④临时增加会议或增加培训人员的应急服务措施、⑤其他应急响应方案等服务保障措施； 二、评审标准 1、完整性：方案必须全面，对评审内容中的各项要求有详细描述； 2、可实施性：切合本项目实际情况，可行性强。 三、赋分标准（满分7.5分） 每小条中每完全满足一个评审标准得0.5分，满分1.5分，本项满分7.5分。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会务应急保障.docx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针对本项目有具体的服务承诺：①服务人员及时到位的承诺、②根据采购人意见及时调整人员及服务方案的承诺、③在服务过程中与采购人积极的配合，确保培训会议顺利召开并有相应保障措施的承诺、④其他供应商认为应承诺的内容。所做承诺内容具体、可行，每小项计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承诺.docx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供应商需提供2022年1月至今类似项目业绩（以合同签订日期为准，供应商所提供合同必须有签订日期），每提供一个计1分，满分7分。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满足竞争性磋商文件要求且评审报价最低的报价为评标基准价，其价格分为满分。其他供应商的价格分统一按照下列公式计算： 报价得分=（评标基准价/投标报价）×价格权值。</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详见附件：服务质量保证.docx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详见附件：人员责任制度.docx</w:t>
      </w:r>
    </w:p>
    <w:p>
      <w:pPr>
        <w:pStyle w:val="null3"/>
        <w:ind w:firstLine="960"/>
      </w:pPr>
      <w:r>
        <w:rPr>
          <w:rFonts w:ascii="仿宋_GB2312" w:hAnsi="仿宋_GB2312" w:cs="仿宋_GB2312" w:eastAsia="仿宋_GB2312"/>
        </w:rPr>
        <w:t>详见附件：拟投入的设施设备.docx</w:t>
      </w:r>
    </w:p>
    <w:p>
      <w:pPr>
        <w:pStyle w:val="null3"/>
        <w:ind w:firstLine="960"/>
      </w:pPr>
      <w:r>
        <w:rPr>
          <w:rFonts w:ascii="仿宋_GB2312" w:hAnsi="仿宋_GB2312" w:cs="仿宋_GB2312" w:eastAsia="仿宋_GB2312"/>
        </w:rPr>
        <w:t>详见附件：重点难点问题分析及解决方案.docx</w:t>
      </w:r>
    </w:p>
    <w:p>
      <w:pPr>
        <w:pStyle w:val="null3"/>
        <w:ind w:firstLine="960"/>
      </w:pPr>
      <w:r>
        <w:rPr>
          <w:rFonts w:ascii="仿宋_GB2312" w:hAnsi="仿宋_GB2312" w:cs="仿宋_GB2312" w:eastAsia="仿宋_GB2312"/>
        </w:rPr>
        <w:t>详见附件：会务应急保障.docx</w:t>
      </w:r>
    </w:p>
    <w:p>
      <w:pPr>
        <w:pStyle w:val="null3"/>
        <w:ind w:firstLine="960"/>
      </w:pPr>
      <w:r>
        <w:rPr>
          <w:rFonts w:ascii="仿宋_GB2312" w:hAnsi="仿宋_GB2312" w:cs="仿宋_GB2312" w:eastAsia="仿宋_GB2312"/>
        </w:rPr>
        <w:t>详见附件：承诺.docx</w:t>
      </w:r>
    </w:p>
    <w:p>
      <w:pPr>
        <w:pStyle w:val="null3"/>
        <w:ind w:firstLine="960"/>
      </w:pPr>
      <w:r>
        <w:rPr>
          <w:rFonts w:ascii="仿宋_GB2312" w:hAnsi="仿宋_GB2312" w:cs="仿宋_GB2312" w:eastAsia="仿宋_GB2312"/>
        </w:rPr>
        <w:t>详见附件：企业实力.docx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详见附件：辅导员能力提升培训项目-西安铁路职业技术学院服务合同.docx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