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版本号：HZ-FWZB-2025-01320250728001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校（园）方责任保险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HZ-FWZB-2025-013</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陕西恒信项目管理有限公司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校（园）方责任保险</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HZ-FWZB-2025-013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校（园）方责任保险</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省教育工委、教育厅对全省各级各类学校投保校方责任保险的要求，结合学院2025年招生计划，为不断完善全省校园安全风险防控体系，积极推进平安校园建设工作，2025/2026学年我院在校生购买校（园）方责任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提供复印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1月1日至今其基本开户银行出具的资信证明（需随附开户证明材料）或财政部门认可的政府采购专业担保机构出具的投标担保函（以上三种形式的资料提供任何一种即可），提供复印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3、有依法缴纳税收和社会保障资金的良好记录：有依法缴纳税收和社会保障资金的良好记录：提供时间在2025年1月1日至今任意时段的缴纳证明，提供复印件并进行电子签章；</w:t>
      </w:r>
    </w:p>
    <w:p>
      <w:pPr>
        <w:pStyle w:val="null3"/>
      </w:pPr>
      <w:r>
        <w:rPr>
          <w:rFonts w:ascii="仿宋_GB2312" w:hAnsi="仿宋_GB2312" w:cs="仿宋_GB2312" w:eastAsia="仿宋_GB2312"/>
        </w:rPr>
        <w:t>4、书面声明：书面声明：（1）参加政府采购活动前三年内，在经营活动中没有重大违法记录的书面声明，需进行电子签章；（2）具有履行本合同所必需的设备和专业技术能力的声明，需进行电子签章；</w:t>
      </w:r>
    </w:p>
    <w:p>
      <w:pPr>
        <w:pStyle w:val="null3"/>
      </w:pPr>
      <w:r>
        <w:rPr>
          <w:rFonts w:ascii="仿宋_GB2312" w:hAnsi="仿宋_GB2312" w:cs="仿宋_GB2312" w:eastAsia="仿宋_GB2312"/>
        </w:rPr>
        <w:t>5、法律、行政法规规定的其他条件：法律、行政法规规定的其他条件：（1）法定代表人直接参加投标的，须提供法定代表人身份证明；法定代表人授权代表参加投标的，须提供法定代表人授权委托书，需进行电子签章；（2）供应商须具有中国保险监督管理委员会颁发的经营保险业务许可证，提供复印件并进行电子签章。</w:t>
      </w:r>
    </w:p>
    <w:p>
      <w:pPr>
        <w:pStyle w:val="null3"/>
      </w:pPr>
      <w:r>
        <w:rPr>
          <w:rFonts w:ascii="仿宋_GB2312" w:hAnsi="仿宋_GB2312" w:cs="仿宋_GB2312" w:eastAsia="仿宋_GB2312"/>
        </w:rPr>
        <w:t>6、供应商企业关系关联及联合体说明：供应商企业关系关联及联合体说明：单位负责人为同一人或者存在直接控股、管理关系的不同供应商，不得参加同一合同项下的政府采购活动；本项目不允许联合体磋商，提供声明并进行电子签章；</w:t>
      </w:r>
    </w:p>
    <w:p>
      <w:pPr>
        <w:pStyle w:val="null3"/>
      </w:pPr>
      <w:r>
        <w:rPr>
          <w:rFonts w:ascii="仿宋_GB2312" w:hAnsi="仿宋_GB2312" w:cs="仿宋_GB2312" w:eastAsia="仿宋_GB2312"/>
        </w:rPr>
        <w:t>7、备注：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5）同一保险机构只允许其本部或一家分支机构参与磋商：同一保险机构只允许其本部或一家分支机构参与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029-88092182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陕西省西安市雁塔区陕西省西安市高新区高新六路25号万象汇1幢1单元5层10501、10502室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刘诗麒、刘萌、杨利乔、杨柳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029－88897788；17391636545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验收条件：按合同约定，以保单为验收依据。 服务质量与合规性 服务执行的标准、规范： （1）国家标准、规范； （2）行业标准、规范； （3）地方标准、规范； （4）企业标准、规范；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联系电话：17391636545</w:t>
      </w:r>
    </w:p>
    <w:p>
      <w:pPr>
        <w:pStyle w:val="null3"/>
      </w:pPr>
      <w:r>
        <w:rPr>
          <w:rFonts w:ascii="仿宋_GB2312" w:hAnsi="仿宋_GB2312" w:cs="仿宋_GB2312" w:eastAsia="仿宋_GB2312"/>
        </w:rPr>
        <w:t>地址：陕西省西安市雁塔区陕西省西安市高新区高新六路25号万象汇1幢1单元5层10501、10502室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省教育工委、教育厅对全省各级各类学校投保校方责任保险的要求，结合学院2025年招生计划，为不断完善全省校园安全风险防控体系，积极推进平安校园建设工作，2025/2026学年我院在校生购买校（园）方责任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校（园）方责任保险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标的名称：校（园）方责任保险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sz w:val="32"/>
              </w:rPr>
              <w:t>一、服务内容</w:t>
            </w:r>
          </w:p>
          <w:p>
            <w:pPr>
              <w:pStyle w:val="null3"/>
              <w:ind w:firstLine="640"/>
              <w:jc w:val="both"/>
            </w:pPr>
            <w:r>
              <w:rPr>
                <w:rFonts w:ascii="仿宋_GB2312" w:hAnsi="仿宋_GB2312" w:cs="仿宋_GB2312" w:eastAsia="仿宋_GB2312"/>
                <w:sz w:val="32"/>
              </w:rPr>
              <w:t>在保险期间内，在校学生在教育教学活动期间或由</w:t>
            </w:r>
            <w:r>
              <w:rPr>
                <w:rFonts w:ascii="仿宋_GB2312" w:hAnsi="仿宋_GB2312" w:cs="仿宋_GB2312" w:eastAsia="仿宋_GB2312"/>
                <w:sz w:val="32"/>
              </w:rPr>
              <w:t>学校</w:t>
            </w:r>
            <w:r>
              <w:rPr>
                <w:rFonts w:ascii="仿宋_GB2312" w:hAnsi="仿宋_GB2312" w:cs="仿宋_GB2312" w:eastAsia="仿宋_GB2312"/>
                <w:sz w:val="32"/>
              </w:rPr>
              <w:t>统一组织并带领下的校（园）外活动中，以及在</w:t>
            </w:r>
            <w:r>
              <w:rPr>
                <w:rFonts w:ascii="仿宋_GB2312" w:hAnsi="仿宋_GB2312" w:cs="仿宋_GB2312" w:eastAsia="仿宋_GB2312"/>
                <w:sz w:val="32"/>
              </w:rPr>
              <w:t>学校</w:t>
            </w:r>
            <w:r>
              <w:rPr>
                <w:rFonts w:ascii="仿宋_GB2312" w:hAnsi="仿宋_GB2312" w:cs="仿宋_GB2312" w:eastAsia="仿宋_GB2312"/>
                <w:sz w:val="32"/>
              </w:rPr>
              <w:t>负有管理责任的校舍、场地、其他教育教学设施、生活设施、交通工具内发生人身损害事故，依照中华人民共和国法律应由</w:t>
            </w:r>
            <w:r>
              <w:rPr>
                <w:rFonts w:ascii="仿宋_GB2312" w:hAnsi="仿宋_GB2312" w:cs="仿宋_GB2312" w:eastAsia="仿宋_GB2312"/>
                <w:sz w:val="32"/>
              </w:rPr>
              <w:t>学校</w:t>
            </w:r>
            <w:r>
              <w:rPr>
                <w:rFonts w:ascii="仿宋_GB2312" w:hAnsi="仿宋_GB2312" w:cs="仿宋_GB2312" w:eastAsia="仿宋_GB2312"/>
                <w:sz w:val="32"/>
              </w:rPr>
              <w:t>承担的经济赔偿责任，保险人按照约定负责赔偿</w:t>
            </w:r>
            <w:r>
              <w:rPr>
                <w:rFonts w:ascii="仿宋_GB2312" w:hAnsi="仿宋_GB2312" w:cs="仿宋_GB2312" w:eastAsia="仿宋_GB2312"/>
                <w:sz w:val="32"/>
              </w:rPr>
              <w:t>。</w:t>
            </w:r>
          </w:p>
          <w:tbl>
            <w:tblPr>
              <w:tblBorders>
                <w:top w:val="none" w:color="000000" w:sz="4"/>
                <w:left w:val="none" w:color="000000" w:sz="4"/>
                <w:bottom w:val="none" w:color="000000" w:sz="4"/>
                <w:right w:val="none" w:color="000000" w:sz="4"/>
                <w:insideH w:val="none"/>
                <w:insideV w:val="none"/>
              </w:tblBorders>
            </w:tblPr>
            <w:tblGrid>
              <w:gridCol w:w="642"/>
              <w:gridCol w:w="798"/>
              <w:gridCol w:w="1111"/>
            </w:tblGrid>
            <w:tr>
              <w:tc>
                <w:tcPr>
                  <w:tcW w:type="dxa" w:w="642"/>
                  <w:vMerge w:val="restart"/>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赔偿限额</w:t>
                  </w:r>
                </w:p>
              </w:tc>
              <w:tc>
                <w:tcPr>
                  <w:tcW w:type="dxa" w:w="79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每次事故赔偿限额</w:t>
                  </w:r>
                </w:p>
              </w:tc>
              <w:tc>
                <w:tcPr>
                  <w:tcW w:type="dxa" w:w="111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800万</w:t>
                  </w:r>
                </w:p>
              </w:tc>
            </w:tr>
            <w:tr>
              <w:tc>
                <w:tcPr>
                  <w:tcW w:type="dxa" w:w="642"/>
                  <w:vMerge/>
                  <w:tcBorders>
                    <w:top w:val="single" w:color="000000" w:sz="8"/>
                    <w:left w:val="single" w:color="000000" w:sz="8"/>
                    <w:bottom w:val="single" w:color="000000" w:sz="4"/>
                    <w:right w:val="single" w:color="000000" w:sz="4"/>
                  </w:tcBorders>
                </w:tcPr>
                <w:p/>
              </w:tc>
              <w:tc>
                <w:tcPr>
                  <w:tcW w:type="dxa" w:w="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每次事故每人赔偿限额</w:t>
                  </w:r>
                </w:p>
              </w:tc>
              <w:tc>
                <w:tcPr>
                  <w:tcW w:type="dxa" w:w="11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70万元</w:t>
                  </w:r>
                </w:p>
              </w:tc>
            </w:tr>
            <w:tr>
              <w:tc>
                <w:tcPr>
                  <w:tcW w:type="dxa" w:w="642"/>
                  <w:vMerge/>
                  <w:tcBorders>
                    <w:top w:val="single" w:color="000000" w:sz="8"/>
                    <w:left w:val="single" w:color="000000" w:sz="8"/>
                    <w:bottom w:val="single" w:color="000000" w:sz="4"/>
                    <w:right w:val="single" w:color="000000" w:sz="4"/>
                  </w:tcBorders>
                </w:tcPr>
                <w:p/>
              </w:tc>
              <w:tc>
                <w:tcPr>
                  <w:tcW w:type="dxa" w:w="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累计赔偿限额</w:t>
                  </w:r>
                </w:p>
              </w:tc>
              <w:tc>
                <w:tcPr>
                  <w:tcW w:type="dxa" w:w="11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2500万元</w:t>
                  </w:r>
                </w:p>
              </w:tc>
            </w:tr>
            <w:tr>
              <w:tc>
                <w:tcPr>
                  <w:tcW w:type="dxa" w:w="642"/>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附加校（园）方无过失责任保险</w:t>
                  </w:r>
                </w:p>
              </w:tc>
              <w:tc>
                <w:tcPr>
                  <w:tcW w:type="dxa" w:w="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每次事故赔偿限额</w:t>
                  </w:r>
                </w:p>
              </w:tc>
              <w:tc>
                <w:tcPr>
                  <w:tcW w:type="dxa" w:w="11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300万元</w:t>
                  </w:r>
                </w:p>
              </w:tc>
            </w:tr>
            <w:tr>
              <w:tc>
                <w:tcPr>
                  <w:tcW w:type="dxa" w:w="642"/>
                  <w:vMerge/>
                  <w:tcBorders>
                    <w:top w:val="single" w:color="000000" w:sz="4"/>
                    <w:left w:val="single" w:color="000000" w:sz="8"/>
                    <w:bottom w:val="single" w:color="000000" w:sz="4"/>
                    <w:right w:val="single" w:color="000000" w:sz="4"/>
                  </w:tcBorders>
                </w:tcPr>
                <w:p/>
              </w:tc>
              <w:tc>
                <w:tcPr>
                  <w:tcW w:type="dxa" w:w="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每次事故每人赔偿限额</w:t>
                  </w:r>
                </w:p>
              </w:tc>
              <w:tc>
                <w:tcPr>
                  <w:tcW w:type="dxa" w:w="11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20万元</w:t>
                  </w:r>
                </w:p>
              </w:tc>
            </w:tr>
            <w:tr>
              <w:tc>
                <w:tcPr>
                  <w:tcW w:type="dxa" w:w="642"/>
                  <w:vMerge/>
                  <w:tcBorders>
                    <w:top w:val="single" w:color="000000" w:sz="4"/>
                    <w:left w:val="single" w:color="000000" w:sz="8"/>
                    <w:bottom w:val="single" w:color="000000" w:sz="4"/>
                    <w:right w:val="single" w:color="000000" w:sz="4"/>
                  </w:tcBorders>
                </w:tcPr>
                <w:p/>
              </w:tc>
              <w:tc>
                <w:tcPr>
                  <w:tcW w:type="dxa" w:w="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累计赔偿限额</w:t>
                  </w:r>
                </w:p>
              </w:tc>
              <w:tc>
                <w:tcPr>
                  <w:tcW w:type="dxa" w:w="111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800万元</w:t>
                  </w:r>
                </w:p>
              </w:tc>
            </w:tr>
            <w:tr>
              <w:tc>
                <w:tcPr>
                  <w:tcW w:type="dxa" w:w="6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每次事故免赔额</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率</w:t>
                  </w:r>
                </w:p>
              </w:tc>
              <w:tc>
                <w:tcPr>
                  <w:tcW w:type="dxa" w:w="1909"/>
                  <w:gridSpan w:val="2"/>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无免赔</w:t>
                  </w:r>
                </w:p>
              </w:tc>
            </w:tr>
          </w:tbl>
          <w:p>
            <w:pPr>
              <w:pStyle w:val="null3"/>
              <w:jc w:val="both"/>
            </w:pPr>
            <w:r>
              <w:rPr>
                <w:rFonts w:ascii="仿宋_GB2312" w:hAnsi="仿宋_GB2312" w:cs="仿宋_GB2312" w:eastAsia="仿宋_GB2312"/>
                <w:sz w:val="32"/>
                <w:b/>
                <w:color w:val="000000"/>
              </w:rPr>
              <w:t>附加</w:t>
            </w:r>
            <w:r>
              <w:rPr>
                <w:rFonts w:ascii="仿宋_GB2312" w:hAnsi="仿宋_GB2312" w:cs="仿宋_GB2312" w:eastAsia="仿宋_GB2312"/>
                <w:sz w:val="32"/>
                <w:b/>
                <w:color w:val="000000"/>
              </w:rPr>
              <w:t>条款：</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附加校（园）方无过失责任保险</w:t>
            </w:r>
          </w:p>
          <w:p>
            <w:pPr>
              <w:pStyle w:val="null3"/>
              <w:ind w:firstLine="640"/>
              <w:jc w:val="both"/>
            </w:pPr>
            <w:r>
              <w:rPr>
                <w:rFonts w:ascii="仿宋_GB2312" w:hAnsi="仿宋_GB2312" w:cs="仿宋_GB2312" w:eastAsia="仿宋_GB2312"/>
                <w:sz w:val="32"/>
                <w:color w:val="000000"/>
              </w:rPr>
              <w:t>2.附加特定情形责任保险</w:t>
            </w:r>
          </w:p>
          <w:p>
            <w:pPr>
              <w:pStyle w:val="null3"/>
              <w:ind w:firstLine="640"/>
              <w:jc w:val="both"/>
            </w:pPr>
            <w:r>
              <w:rPr>
                <w:rFonts w:ascii="仿宋_GB2312" w:hAnsi="仿宋_GB2312" w:cs="仿宋_GB2312" w:eastAsia="仿宋_GB2312"/>
                <w:sz w:val="32"/>
                <w:color w:val="000000"/>
              </w:rPr>
              <w:t>3.校（园）方责任保险附加公平责任保险条款</w:t>
            </w:r>
          </w:p>
          <w:p>
            <w:pPr>
              <w:pStyle w:val="null3"/>
              <w:ind w:firstLine="640"/>
              <w:jc w:val="both"/>
            </w:pPr>
            <w:r>
              <w:rPr>
                <w:rFonts w:ascii="仿宋_GB2312" w:hAnsi="仿宋_GB2312" w:cs="仿宋_GB2312" w:eastAsia="仿宋_GB2312"/>
                <w:sz w:val="32"/>
                <w:color w:val="000000"/>
              </w:rPr>
              <w:t>4.附加特定事故责任保险</w:t>
            </w:r>
          </w:p>
          <w:p>
            <w:pPr>
              <w:pStyle w:val="null3"/>
              <w:ind w:firstLine="640"/>
              <w:jc w:val="both"/>
            </w:pPr>
            <w:r>
              <w:rPr>
                <w:rFonts w:ascii="仿宋_GB2312" w:hAnsi="仿宋_GB2312" w:cs="仿宋_GB2312" w:eastAsia="仿宋_GB2312"/>
                <w:sz w:val="32"/>
                <w:color w:val="000000"/>
              </w:rPr>
              <w:t>5.附加境外人身损害责任保险</w:t>
            </w:r>
          </w:p>
          <w:p>
            <w:pPr>
              <w:pStyle w:val="null3"/>
              <w:ind w:firstLine="640"/>
              <w:jc w:val="both"/>
            </w:pPr>
            <w:r>
              <w:rPr>
                <w:rFonts w:ascii="仿宋_GB2312" w:hAnsi="仿宋_GB2312" w:cs="仿宋_GB2312" w:eastAsia="仿宋_GB2312"/>
                <w:sz w:val="32"/>
                <w:color w:val="000000"/>
              </w:rPr>
              <w:t>6.扩展特定事项附加险（</w:t>
            </w:r>
            <w:r>
              <w:rPr>
                <w:rFonts w:ascii="仿宋_GB2312" w:hAnsi="仿宋_GB2312" w:cs="仿宋_GB2312" w:eastAsia="仿宋_GB2312"/>
                <w:sz w:val="32"/>
                <w:shd w:fill="FFFFFF" w:val="clear"/>
              </w:rPr>
              <w:t>新增学生自动纳入保险条款</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7.校（园）方责任保险附加自然灾害责任保险条款</w:t>
            </w:r>
          </w:p>
          <w:p>
            <w:pPr>
              <w:pStyle w:val="null3"/>
              <w:jc w:val="both"/>
            </w:pPr>
            <w:r>
              <w:rPr>
                <w:rFonts w:ascii="仿宋_GB2312" w:hAnsi="仿宋_GB2312" w:cs="仿宋_GB2312" w:eastAsia="仿宋_GB2312"/>
                <w:sz w:val="32"/>
                <w:b/>
                <w:color w:val="000000"/>
              </w:rPr>
              <w:t>特别约定：</w:t>
            </w:r>
          </w:p>
          <w:p>
            <w:pPr>
              <w:pStyle w:val="null3"/>
              <w:ind w:firstLine="640"/>
              <w:jc w:val="both"/>
            </w:pPr>
            <w:r>
              <w:rPr>
                <w:rFonts w:ascii="仿宋_GB2312" w:hAnsi="仿宋_GB2312" w:cs="仿宋_GB2312" w:eastAsia="仿宋_GB2312"/>
                <w:sz w:val="32"/>
                <w:color w:val="000000"/>
              </w:rPr>
              <w:t>1.保单校（园）方责任保险附加校（园）方无过失责任保险条款：每生每年赔偿限额20万元，每校每次事故赔偿限额300万元，每校每年累计赔偿限额800万元</w:t>
            </w:r>
          </w:p>
          <w:p>
            <w:pPr>
              <w:pStyle w:val="null3"/>
              <w:ind w:firstLine="640"/>
              <w:jc w:val="both"/>
            </w:pPr>
            <w:r>
              <w:rPr>
                <w:rFonts w:ascii="仿宋_GB2312" w:hAnsi="仿宋_GB2312" w:cs="仿宋_GB2312" w:eastAsia="仿宋_GB2312"/>
                <w:sz w:val="32"/>
                <w:color w:val="000000"/>
              </w:rPr>
              <w:t>2.对于在投保年度被保险人的新增学生的情况，自该学生完成注册当时起，自动纳入本保险保障范围。</w:t>
            </w:r>
          </w:p>
          <w:p>
            <w:pPr>
              <w:pStyle w:val="null3"/>
              <w:ind w:firstLine="640"/>
              <w:jc w:val="both"/>
            </w:pPr>
            <w:r>
              <w:rPr>
                <w:rFonts w:ascii="仿宋_GB2312" w:hAnsi="仿宋_GB2312" w:cs="仿宋_GB2312" w:eastAsia="仿宋_GB2312"/>
                <w:sz w:val="32"/>
              </w:rPr>
              <w:t>二、服务要求</w:t>
            </w:r>
          </w:p>
          <w:p>
            <w:pPr>
              <w:pStyle w:val="null3"/>
              <w:ind w:firstLine="707"/>
              <w:jc w:val="both"/>
            </w:pPr>
            <w:r>
              <w:rPr>
                <w:rFonts w:ascii="仿宋_GB2312" w:hAnsi="仿宋_GB2312" w:cs="仿宋_GB2312" w:eastAsia="仿宋_GB2312"/>
                <w:sz w:val="32"/>
              </w:rPr>
              <w:t>保险期间实际学生人数变动幅度在全校本年度内拟投保总学生人数</w:t>
            </w:r>
            <w:r>
              <w:rPr>
                <w:rFonts w:ascii="仿宋_GB2312" w:hAnsi="仿宋_GB2312" w:cs="仿宋_GB2312" w:eastAsia="仿宋_GB2312"/>
                <w:sz w:val="32"/>
              </w:rPr>
              <w:t>16000</w:t>
            </w:r>
            <w:r>
              <w:rPr>
                <w:rFonts w:ascii="仿宋_GB2312" w:hAnsi="仿宋_GB2312" w:cs="仿宋_GB2312" w:eastAsia="仿宋_GB2312"/>
                <w:sz w:val="32"/>
              </w:rPr>
              <w:t>人（暂定）</w:t>
            </w:r>
            <w:r>
              <w:rPr>
                <w:rFonts w:ascii="仿宋_GB2312" w:hAnsi="仿宋_GB2312" w:cs="仿宋_GB2312" w:eastAsia="仿宋_GB2312"/>
                <w:sz w:val="32"/>
              </w:rPr>
              <w:t>的</w:t>
            </w:r>
            <w:r>
              <w:rPr>
                <w:rFonts w:ascii="仿宋_GB2312" w:hAnsi="仿宋_GB2312" w:cs="仿宋_GB2312" w:eastAsia="仿宋_GB2312"/>
                <w:sz w:val="32"/>
              </w:rPr>
              <w:t>5%(</w:t>
            </w:r>
            <w:r>
              <w:rPr>
                <w:rFonts w:ascii="仿宋_GB2312" w:hAnsi="仿宋_GB2312" w:cs="仿宋_GB2312" w:eastAsia="仿宋_GB2312"/>
                <w:sz w:val="32"/>
              </w:rPr>
              <w:t>含</w:t>
            </w:r>
            <w:r>
              <w:rPr>
                <w:rFonts w:ascii="仿宋_GB2312" w:hAnsi="仿宋_GB2312" w:cs="仿宋_GB2312" w:eastAsia="仿宋_GB2312"/>
                <w:sz w:val="32"/>
              </w:rPr>
              <w:t>5%)</w:t>
            </w:r>
            <w:r>
              <w:rPr>
                <w:rFonts w:ascii="仿宋_GB2312" w:hAnsi="仿宋_GB2312" w:cs="仿宋_GB2312" w:eastAsia="仿宋_GB2312"/>
                <w:sz w:val="32"/>
              </w:rPr>
              <w:t>以内的，保险人同意不增减保险费。</w:t>
            </w:r>
          </w:p>
          <w:p>
            <w:pPr>
              <w:pStyle w:val="null3"/>
              <w:ind w:firstLine="707"/>
              <w:jc w:val="both"/>
            </w:pPr>
            <w:r>
              <w:rPr>
                <w:rFonts w:ascii="仿宋_GB2312" w:hAnsi="仿宋_GB2312" w:cs="仿宋_GB2312" w:eastAsia="仿宋_GB2312"/>
                <w:sz w:val="32"/>
              </w:rPr>
              <w:t>提供专业服务人员对所涉保险条款、保险责任、保险期间</w:t>
            </w:r>
            <w:r>
              <w:rPr>
                <w:rFonts w:ascii="仿宋_GB2312" w:hAnsi="仿宋_GB2312" w:cs="仿宋_GB2312" w:eastAsia="仿宋_GB2312"/>
                <w:sz w:val="28"/>
              </w:rPr>
              <w:t>、</w:t>
            </w:r>
            <w:r>
              <w:rPr>
                <w:rFonts w:ascii="仿宋_GB2312" w:hAnsi="仿宋_GB2312" w:cs="仿宋_GB2312" w:eastAsia="仿宋_GB2312"/>
                <w:sz w:val="32"/>
              </w:rPr>
              <w:t>保险额度等保险合同主要条款给予</w:t>
            </w:r>
            <w:r>
              <w:rPr>
                <w:rFonts w:ascii="仿宋_GB2312" w:hAnsi="仿宋_GB2312" w:cs="仿宋_GB2312" w:eastAsia="仿宋_GB2312"/>
                <w:sz w:val="32"/>
              </w:rPr>
              <w:t>学校</w:t>
            </w:r>
            <w:r>
              <w:rPr>
                <w:rFonts w:ascii="仿宋_GB2312" w:hAnsi="仿宋_GB2312" w:cs="仿宋_GB2312" w:eastAsia="仿宋_GB2312"/>
                <w:sz w:val="32"/>
              </w:rPr>
              <w:t>重要提示及详细说明</w:t>
            </w:r>
            <w:r>
              <w:rPr>
                <w:rFonts w:ascii="仿宋_GB2312" w:hAnsi="仿宋_GB2312" w:cs="仿宋_GB2312" w:eastAsia="仿宋_GB2312"/>
                <w:sz w:val="32"/>
              </w:rPr>
              <w:t>，</w:t>
            </w:r>
            <w:r>
              <w:rPr>
                <w:rFonts w:ascii="仿宋_GB2312" w:hAnsi="仿宋_GB2312" w:cs="仿宋_GB2312" w:eastAsia="仿宋_GB2312"/>
                <w:sz w:val="32"/>
              </w:rPr>
              <w:t>并协助办理投保手续。</w:t>
            </w:r>
          </w:p>
          <w:p>
            <w:pPr>
              <w:pStyle w:val="null3"/>
              <w:ind w:firstLine="640"/>
              <w:jc w:val="both"/>
            </w:pPr>
            <w:r>
              <w:rPr>
                <w:rFonts w:ascii="仿宋_GB2312" w:hAnsi="仿宋_GB2312" w:cs="仿宋_GB2312" w:eastAsia="仿宋_GB2312"/>
                <w:sz w:val="32"/>
              </w:rPr>
              <w:t>三、商务要求</w:t>
            </w:r>
            <w:r>
              <w:rPr>
                <w:rFonts w:ascii="仿宋_GB2312" w:hAnsi="仿宋_GB2312" w:cs="仿宋_GB2312" w:eastAsia="仿宋_GB2312"/>
                <w:sz w:val="32"/>
                <w:b/>
                <w:color w:val="3498DB"/>
              </w:rPr>
              <w:t>★(本项为实质性要求，不可负偏离)</w:t>
            </w:r>
          </w:p>
          <w:p>
            <w:pPr>
              <w:pStyle w:val="null3"/>
              <w:ind w:firstLine="707"/>
              <w:jc w:val="both"/>
            </w:pPr>
            <w:r>
              <w:rPr>
                <w:rFonts w:ascii="仿宋_GB2312" w:hAnsi="仿宋_GB2312" w:cs="仿宋_GB2312" w:eastAsia="仿宋_GB2312"/>
                <w:sz w:val="32"/>
              </w:rPr>
              <w:t>应设立固定报案电话，实行全天侯的现场勘查制度，并为</w:t>
            </w:r>
            <w:r>
              <w:rPr>
                <w:rFonts w:ascii="仿宋_GB2312" w:hAnsi="仿宋_GB2312" w:cs="仿宋_GB2312" w:eastAsia="仿宋_GB2312"/>
                <w:sz w:val="32"/>
              </w:rPr>
              <w:t>学校</w:t>
            </w:r>
            <w:r>
              <w:rPr>
                <w:rFonts w:ascii="仿宋_GB2312" w:hAnsi="仿宋_GB2312" w:cs="仿宋_GB2312" w:eastAsia="仿宋_GB2312"/>
                <w:sz w:val="32"/>
              </w:rPr>
              <w:t>提供合理、及时、人性化的理赔服务</w:t>
            </w:r>
            <w:r>
              <w:rPr>
                <w:rFonts w:ascii="仿宋_GB2312" w:hAnsi="仿宋_GB2312" w:cs="仿宋_GB2312" w:eastAsia="仿宋_GB2312"/>
                <w:sz w:val="32"/>
              </w:rPr>
              <w:t>,相应赔款应在</w:t>
            </w:r>
            <w:r>
              <w:rPr>
                <w:rFonts w:ascii="仿宋_GB2312" w:hAnsi="仿宋_GB2312" w:cs="仿宋_GB2312" w:eastAsia="仿宋_GB2312"/>
                <w:sz w:val="32"/>
              </w:rPr>
              <w:t>学校</w:t>
            </w:r>
            <w:r>
              <w:rPr>
                <w:rFonts w:ascii="仿宋_GB2312" w:hAnsi="仿宋_GB2312" w:cs="仿宋_GB2312" w:eastAsia="仿宋_GB2312"/>
                <w:sz w:val="32"/>
              </w:rPr>
              <w:t>提供完整索赔资料之日起</w:t>
            </w:r>
            <w:r>
              <w:rPr>
                <w:rFonts w:ascii="仿宋_GB2312" w:hAnsi="仿宋_GB2312" w:cs="仿宋_GB2312" w:eastAsia="仿宋_GB2312"/>
                <w:sz w:val="32"/>
              </w:rPr>
              <w:t>15</w:t>
            </w:r>
            <w:r>
              <w:rPr>
                <w:rFonts w:ascii="仿宋_GB2312" w:hAnsi="仿宋_GB2312" w:cs="仿宋_GB2312" w:eastAsia="仿宋_GB2312"/>
                <w:sz w:val="32"/>
              </w:rPr>
              <w:t>个工作日内赔偿完毕</w:t>
            </w:r>
            <w:r>
              <w:rPr>
                <w:rFonts w:ascii="仿宋_GB2312" w:hAnsi="仿宋_GB2312" w:cs="仿宋_GB2312" w:eastAsia="仿宋_GB2312"/>
                <w:sz w:val="32"/>
              </w:rPr>
              <w:t>。</w:t>
            </w:r>
            <w:r>
              <w:rPr>
                <w:rFonts w:ascii="仿宋_GB2312" w:hAnsi="仿宋_GB2312" w:cs="仿宋_GB2312" w:eastAsia="仿宋_GB2312"/>
                <w:sz w:val="32"/>
              </w:rPr>
              <w:t>应不断优化并简化其投保、理赔程序，为</w:t>
            </w:r>
            <w:r>
              <w:rPr>
                <w:rFonts w:ascii="仿宋_GB2312" w:hAnsi="仿宋_GB2312" w:cs="仿宋_GB2312" w:eastAsia="仿宋_GB2312"/>
                <w:sz w:val="32"/>
              </w:rPr>
              <w:t>学校</w:t>
            </w:r>
            <w:r>
              <w:rPr>
                <w:rFonts w:ascii="仿宋_GB2312" w:hAnsi="仿宋_GB2312" w:cs="仿宋_GB2312" w:eastAsia="仿宋_GB2312"/>
                <w:sz w:val="32"/>
              </w:rPr>
              <w:t>提供更优质的服务。</w:t>
            </w:r>
          </w:p>
          <w:p>
            <w:pPr>
              <w:pStyle w:val="null3"/>
              <w:ind w:firstLine="640"/>
            </w:pPr>
            <w:r>
              <w:rPr>
                <w:rFonts w:ascii="仿宋_GB2312" w:hAnsi="仿宋_GB2312" w:cs="仿宋_GB2312" w:eastAsia="仿宋_GB2312"/>
                <w:sz w:val="32"/>
                <w:b/>
              </w:rPr>
              <w:t>1.</w:t>
            </w:r>
            <w:r>
              <w:rPr>
                <w:rFonts w:ascii="仿宋_GB2312" w:hAnsi="仿宋_GB2312" w:cs="仿宋_GB2312" w:eastAsia="仿宋_GB2312"/>
                <w:sz w:val="32"/>
                <w:b/>
              </w:rPr>
              <w:t>服务期限</w:t>
            </w:r>
          </w:p>
          <w:p>
            <w:pPr>
              <w:pStyle w:val="null3"/>
              <w:ind w:firstLine="640"/>
            </w:pPr>
            <w:r>
              <w:rPr>
                <w:rFonts w:ascii="仿宋_GB2312" w:hAnsi="仿宋_GB2312" w:cs="仿宋_GB2312" w:eastAsia="仿宋_GB2312"/>
                <w:sz w:val="32"/>
              </w:rPr>
              <w:t>以保单生效</w:t>
            </w:r>
            <w:r>
              <w:rPr>
                <w:rFonts w:ascii="仿宋_GB2312" w:hAnsi="仿宋_GB2312" w:cs="仿宋_GB2312" w:eastAsia="仿宋_GB2312"/>
                <w:sz w:val="32"/>
              </w:rPr>
              <w:t>之日起一年</w:t>
            </w:r>
          </w:p>
          <w:p>
            <w:pPr>
              <w:pStyle w:val="null3"/>
              <w:ind w:firstLine="640"/>
            </w:pPr>
            <w:r>
              <w:rPr>
                <w:rFonts w:ascii="仿宋_GB2312" w:hAnsi="仿宋_GB2312" w:cs="仿宋_GB2312" w:eastAsia="仿宋_GB2312"/>
                <w:sz w:val="32"/>
                <w:b/>
              </w:rPr>
              <w:t>2.</w:t>
            </w:r>
            <w:r>
              <w:rPr>
                <w:rFonts w:ascii="仿宋_GB2312" w:hAnsi="仿宋_GB2312" w:cs="仿宋_GB2312" w:eastAsia="仿宋_GB2312"/>
                <w:sz w:val="32"/>
                <w:b/>
              </w:rPr>
              <w:t>服务地点</w:t>
            </w:r>
          </w:p>
          <w:p>
            <w:pPr>
              <w:pStyle w:val="null3"/>
              <w:ind w:firstLine="640"/>
            </w:pPr>
            <w:r>
              <w:rPr>
                <w:rFonts w:ascii="仿宋_GB2312" w:hAnsi="仿宋_GB2312" w:cs="仿宋_GB2312" w:eastAsia="仿宋_GB2312"/>
                <w:sz w:val="32"/>
              </w:rPr>
              <w:t>照采购人要求</w:t>
            </w:r>
          </w:p>
          <w:p>
            <w:pPr>
              <w:pStyle w:val="null3"/>
              <w:ind w:firstLine="640"/>
            </w:pPr>
            <w:r>
              <w:rPr>
                <w:rFonts w:ascii="仿宋_GB2312" w:hAnsi="仿宋_GB2312" w:cs="仿宋_GB2312" w:eastAsia="仿宋_GB2312"/>
                <w:sz w:val="32"/>
                <w:b/>
              </w:rPr>
              <w:t>3.</w:t>
            </w:r>
            <w:r>
              <w:rPr>
                <w:rFonts w:ascii="仿宋_GB2312" w:hAnsi="仿宋_GB2312" w:cs="仿宋_GB2312" w:eastAsia="仿宋_GB2312"/>
                <w:sz w:val="32"/>
                <w:b/>
              </w:rPr>
              <w:t>考核（验收）标准和方法</w:t>
            </w:r>
          </w:p>
          <w:p>
            <w:pPr>
              <w:pStyle w:val="null3"/>
              <w:ind w:firstLine="640"/>
            </w:pPr>
            <w:r>
              <w:rPr>
                <w:rFonts w:ascii="仿宋_GB2312" w:hAnsi="仿宋_GB2312" w:cs="仿宋_GB2312" w:eastAsia="仿宋_GB2312"/>
                <w:sz w:val="32"/>
              </w:rPr>
              <w:t>按合同约定</w:t>
            </w:r>
            <w:r>
              <w:rPr>
                <w:rFonts w:ascii="仿宋_GB2312" w:hAnsi="仿宋_GB2312" w:cs="仿宋_GB2312" w:eastAsia="仿宋_GB2312"/>
                <w:sz w:val="32"/>
              </w:rPr>
              <w:t>，</w:t>
            </w:r>
            <w:r>
              <w:rPr>
                <w:rFonts w:ascii="仿宋_GB2312" w:hAnsi="仿宋_GB2312" w:cs="仿宋_GB2312" w:eastAsia="仿宋_GB2312"/>
                <w:sz w:val="32"/>
              </w:rPr>
              <w:t>以保单为验收依据。</w:t>
            </w:r>
          </w:p>
          <w:p>
            <w:pPr>
              <w:pStyle w:val="null3"/>
              <w:ind w:firstLine="640"/>
            </w:pPr>
            <w:r>
              <w:rPr>
                <w:rFonts w:ascii="仿宋_GB2312" w:hAnsi="仿宋_GB2312" w:cs="仿宋_GB2312" w:eastAsia="仿宋_GB2312"/>
                <w:sz w:val="32"/>
                <w:b/>
              </w:rPr>
              <w:t>4.</w:t>
            </w:r>
            <w:r>
              <w:rPr>
                <w:rFonts w:ascii="仿宋_GB2312" w:hAnsi="仿宋_GB2312" w:cs="仿宋_GB2312" w:eastAsia="仿宋_GB2312"/>
                <w:sz w:val="32"/>
                <w:b/>
              </w:rPr>
              <w:t>支付方式</w:t>
            </w:r>
          </w:p>
          <w:p>
            <w:pPr>
              <w:pStyle w:val="null3"/>
              <w:ind w:firstLine="640"/>
            </w:pPr>
            <w:r>
              <w:rPr>
                <w:rFonts w:ascii="仿宋_GB2312" w:hAnsi="仿宋_GB2312" w:cs="仿宋_GB2312" w:eastAsia="仿宋_GB2312"/>
                <w:sz w:val="32"/>
              </w:rPr>
              <w:t>一次付清</w:t>
            </w:r>
          </w:p>
          <w:p>
            <w:pPr>
              <w:pStyle w:val="null3"/>
              <w:ind w:firstLine="640"/>
            </w:pPr>
            <w:r>
              <w:rPr>
                <w:rFonts w:ascii="仿宋_GB2312" w:hAnsi="仿宋_GB2312" w:cs="仿宋_GB2312" w:eastAsia="仿宋_GB2312"/>
                <w:sz w:val="32"/>
                <w:b/>
              </w:rPr>
              <w:t>5.</w:t>
            </w:r>
            <w:r>
              <w:rPr>
                <w:rFonts w:ascii="仿宋_GB2312" w:hAnsi="仿宋_GB2312" w:cs="仿宋_GB2312" w:eastAsia="仿宋_GB2312"/>
                <w:sz w:val="32"/>
                <w:b/>
              </w:rPr>
              <w:t>支付约定</w:t>
            </w:r>
          </w:p>
          <w:p>
            <w:pPr>
              <w:pStyle w:val="null3"/>
              <w:ind w:firstLine="640"/>
            </w:pPr>
            <w:r>
              <w:rPr>
                <w:rFonts w:ascii="仿宋_GB2312" w:hAnsi="仿宋_GB2312" w:cs="仿宋_GB2312" w:eastAsia="仿宋_GB2312"/>
                <w:sz w:val="32"/>
              </w:rPr>
              <w:t>付款条件说明：保险费单价金额不变，最终以合同确定的实际参保人数为准，收到保单发票后</w:t>
            </w:r>
            <w:r>
              <w:rPr>
                <w:rFonts w:ascii="仿宋_GB2312" w:hAnsi="仿宋_GB2312" w:cs="仿宋_GB2312" w:eastAsia="仿宋_GB2312"/>
                <w:sz w:val="32"/>
              </w:rPr>
              <w:t>30</w:t>
            </w:r>
            <w:r>
              <w:rPr>
                <w:rFonts w:ascii="仿宋_GB2312" w:hAnsi="仿宋_GB2312" w:cs="仿宋_GB2312" w:eastAsia="仿宋_GB2312"/>
                <w:sz w:val="32"/>
              </w:rPr>
              <w:t>天内支付</w:t>
            </w:r>
          </w:p>
          <w:p>
            <w:pPr>
              <w:pStyle w:val="null3"/>
              <w:ind w:firstLine="640"/>
            </w:pPr>
            <w:r>
              <w:rPr>
                <w:rFonts w:ascii="仿宋_GB2312" w:hAnsi="仿宋_GB2312" w:cs="仿宋_GB2312" w:eastAsia="仿宋_GB2312"/>
                <w:sz w:val="32"/>
                <w:b/>
              </w:rPr>
              <w:t xml:space="preserve"> 6.</w:t>
            </w:r>
            <w:r>
              <w:rPr>
                <w:rFonts w:ascii="仿宋_GB2312" w:hAnsi="仿宋_GB2312" w:cs="仿宋_GB2312" w:eastAsia="仿宋_GB2312"/>
                <w:sz w:val="32"/>
                <w:color w:val="000000"/>
              </w:rPr>
              <w:t>履约保证金</w:t>
            </w:r>
          </w:p>
          <w:p>
            <w:pPr>
              <w:pStyle w:val="null3"/>
              <w:ind w:firstLine="640"/>
              <w:jc w:val="both"/>
            </w:pPr>
            <w:r>
              <w:rPr>
                <w:rFonts w:ascii="仿宋_GB2312" w:hAnsi="仿宋_GB2312" w:cs="仿宋_GB2312" w:eastAsia="仿宋_GB2312"/>
                <w:sz w:val="32"/>
                <w:color w:val="000000"/>
              </w:rPr>
              <w:t>6.1.</w:t>
            </w:r>
            <w:r>
              <w:rPr>
                <w:rFonts w:ascii="仿宋_GB2312" w:hAnsi="仿宋_GB2312" w:cs="仿宋_GB2312" w:eastAsia="仿宋_GB2312"/>
                <w:sz w:val="32"/>
                <w:color w:val="000000"/>
              </w:rPr>
              <w:t>履约保证金交纳时间：供应商应在签订合同前须将履约保证金交至西安市财政局预算单位实有资金财政代管账户，其数额为合同金额的</w:t>
            </w:r>
            <w:r>
              <w:rPr>
                <w:rFonts w:ascii="仿宋_GB2312" w:hAnsi="仿宋_GB2312" w:cs="仿宋_GB2312" w:eastAsia="仿宋_GB2312"/>
                <w:sz w:val="32"/>
                <w:color w:val="000000"/>
              </w:rPr>
              <w:t>5%</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6.2.</w:t>
            </w:r>
            <w:r>
              <w:rPr>
                <w:rFonts w:ascii="仿宋_GB2312" w:hAnsi="仿宋_GB2312" w:cs="仿宋_GB2312" w:eastAsia="仿宋_GB2312"/>
                <w:sz w:val="32"/>
                <w:color w:val="000000"/>
              </w:rPr>
              <w:t>履约保证金的缴纳形式：供应商可自主选择银行对公转账、电汇或以支票、保函等非现金形式交纳。</w:t>
            </w:r>
          </w:p>
          <w:p>
            <w:pPr>
              <w:pStyle w:val="null3"/>
              <w:ind w:firstLine="640"/>
              <w:jc w:val="both"/>
            </w:pPr>
            <w:r>
              <w:rPr>
                <w:rFonts w:ascii="仿宋_GB2312" w:hAnsi="仿宋_GB2312" w:cs="仿宋_GB2312" w:eastAsia="仿宋_GB2312"/>
                <w:sz w:val="32"/>
                <w:color w:val="000000"/>
              </w:rPr>
              <w:t>6.3.</w:t>
            </w:r>
            <w:r>
              <w:rPr>
                <w:rFonts w:ascii="仿宋_GB2312" w:hAnsi="仿宋_GB2312" w:cs="仿宋_GB2312" w:eastAsia="仿宋_GB2312"/>
                <w:sz w:val="32"/>
                <w:color w:val="000000"/>
              </w:rPr>
              <w:t>履约保证金的退还：项目验收合格后，成交供应商向采购人提交双方约定的所有档案资料</w:t>
            </w:r>
            <w:r>
              <w:rPr>
                <w:rFonts w:ascii="仿宋_GB2312" w:hAnsi="仿宋_GB2312" w:cs="仿宋_GB2312" w:eastAsia="仿宋_GB2312"/>
                <w:sz w:val="32"/>
                <w:color w:val="000000"/>
              </w:rPr>
              <w:t>(</w:t>
            </w:r>
            <w:r>
              <w:rPr>
                <w:rFonts w:ascii="仿宋_GB2312" w:hAnsi="仿宋_GB2312" w:cs="仿宋_GB2312" w:eastAsia="仿宋_GB2312"/>
                <w:sz w:val="32"/>
                <w:color w:val="000000"/>
              </w:rPr>
              <w:t>三份纸质版，一份电子版</w:t>
            </w:r>
            <w:r>
              <w:rPr>
                <w:rFonts w:ascii="仿宋_GB2312" w:hAnsi="仿宋_GB2312" w:cs="仿宋_GB2312" w:eastAsia="仿宋_GB2312"/>
                <w:sz w:val="32"/>
                <w:color w:val="000000"/>
              </w:rPr>
              <w:t>)</w:t>
            </w:r>
            <w:r>
              <w:rPr>
                <w:rFonts w:ascii="仿宋_GB2312" w:hAnsi="仿宋_GB2312" w:cs="仿宋_GB2312" w:eastAsia="仿宋_GB2312"/>
                <w:sz w:val="32"/>
                <w:color w:val="000000"/>
              </w:rPr>
              <w:t>，并持《申请支付履约保证金的函》到采购人办理相关手续后，采购人于</w:t>
            </w:r>
            <w:r>
              <w:rPr>
                <w:rFonts w:ascii="仿宋_GB2312" w:hAnsi="仿宋_GB2312" w:cs="仿宋_GB2312" w:eastAsia="仿宋_GB2312"/>
                <w:sz w:val="32"/>
                <w:color w:val="000000"/>
              </w:rPr>
              <w:t>30</w:t>
            </w:r>
            <w:r>
              <w:rPr>
                <w:rFonts w:ascii="仿宋_GB2312" w:hAnsi="仿宋_GB2312" w:cs="仿宋_GB2312" w:eastAsia="仿宋_GB2312"/>
                <w:sz w:val="32"/>
                <w:color w:val="000000"/>
              </w:rPr>
              <w:t>日内向成交供应商无息退还。</w:t>
            </w:r>
          </w:p>
          <w:p>
            <w:pPr>
              <w:pStyle w:val="null3"/>
              <w:ind w:firstLine="640"/>
              <w:jc w:val="both"/>
            </w:pPr>
            <w:r>
              <w:rPr>
                <w:rFonts w:ascii="仿宋_GB2312" w:hAnsi="仿宋_GB2312" w:cs="仿宋_GB2312" w:eastAsia="仿宋_GB2312"/>
                <w:sz w:val="32"/>
                <w:color w:val="000000"/>
              </w:rPr>
              <w:t>6.4.</w:t>
            </w:r>
            <w:r>
              <w:rPr>
                <w:rFonts w:ascii="仿宋_GB2312" w:hAnsi="仿宋_GB2312" w:cs="仿宋_GB2312" w:eastAsia="仿宋_GB2312"/>
                <w:sz w:val="32"/>
                <w:color w:val="000000"/>
              </w:rPr>
              <w:t>履约保证金收取账号信息：</w:t>
            </w:r>
          </w:p>
          <w:p>
            <w:pPr>
              <w:pStyle w:val="null3"/>
              <w:ind w:firstLine="640"/>
              <w:jc w:val="both"/>
            </w:pPr>
            <w:r>
              <w:rPr>
                <w:rFonts w:ascii="仿宋_GB2312" w:hAnsi="仿宋_GB2312" w:cs="仿宋_GB2312" w:eastAsia="仿宋_GB2312"/>
                <w:sz w:val="32"/>
                <w:color w:val="000000"/>
              </w:rPr>
              <w:t>名称</w:t>
            </w:r>
            <w:r>
              <w:rPr>
                <w:rFonts w:ascii="仿宋_GB2312" w:hAnsi="仿宋_GB2312" w:cs="仿宋_GB2312" w:eastAsia="仿宋_GB2312"/>
                <w:sz w:val="32"/>
                <w:color w:val="000000"/>
              </w:rPr>
              <w:t>:</w:t>
            </w:r>
            <w:r>
              <w:rPr>
                <w:rFonts w:ascii="仿宋_GB2312" w:hAnsi="仿宋_GB2312" w:cs="仿宋_GB2312" w:eastAsia="仿宋_GB2312"/>
                <w:sz w:val="32"/>
                <w:color w:val="000000"/>
              </w:rPr>
              <w:t>西安市财政局预算单位实有资金财政代管账户</w:t>
            </w:r>
          </w:p>
          <w:p>
            <w:pPr>
              <w:pStyle w:val="null3"/>
              <w:ind w:firstLine="640"/>
              <w:jc w:val="both"/>
            </w:pPr>
            <w:r>
              <w:rPr>
                <w:rFonts w:ascii="仿宋_GB2312" w:hAnsi="仿宋_GB2312" w:cs="仿宋_GB2312" w:eastAsia="仿宋_GB2312"/>
                <w:sz w:val="32"/>
                <w:color w:val="000000"/>
              </w:rPr>
              <w:t>开户银行</w:t>
            </w:r>
            <w:r>
              <w:rPr>
                <w:rFonts w:ascii="仿宋_GB2312" w:hAnsi="仿宋_GB2312" w:cs="仿宋_GB2312" w:eastAsia="仿宋_GB2312"/>
                <w:sz w:val="32"/>
                <w:color w:val="000000"/>
              </w:rPr>
              <w:t>:</w:t>
            </w:r>
            <w:r>
              <w:rPr>
                <w:rFonts w:ascii="仿宋_GB2312" w:hAnsi="仿宋_GB2312" w:cs="仿宋_GB2312" w:eastAsia="仿宋_GB2312"/>
                <w:sz w:val="32"/>
                <w:color w:val="000000"/>
              </w:rPr>
              <w:t>中国建设银行股份有限公司西安莲湖路支行</w:t>
            </w:r>
          </w:p>
          <w:p>
            <w:pPr>
              <w:pStyle w:val="null3"/>
              <w:ind w:firstLine="640"/>
              <w:jc w:val="both"/>
            </w:pPr>
            <w:r>
              <w:rPr>
                <w:rFonts w:ascii="仿宋_GB2312" w:hAnsi="仿宋_GB2312" w:cs="仿宋_GB2312" w:eastAsia="仿宋_GB2312"/>
                <w:sz w:val="32"/>
                <w:color w:val="000000"/>
              </w:rPr>
              <w:t>银行账号</w:t>
            </w:r>
            <w:r>
              <w:rPr>
                <w:rFonts w:ascii="仿宋_GB2312" w:hAnsi="仿宋_GB2312" w:cs="仿宋_GB2312" w:eastAsia="仿宋_GB2312"/>
                <w:sz w:val="32"/>
                <w:color w:val="000000"/>
              </w:rPr>
              <w:t>:61001711100052518874-203033</w:t>
            </w:r>
          </w:p>
          <w:p>
            <w:pPr>
              <w:pStyle w:val="null3"/>
              <w:ind w:firstLine="640"/>
              <w:jc w:val="both"/>
            </w:pPr>
            <w:r>
              <w:rPr>
                <w:rFonts w:ascii="仿宋_GB2312" w:hAnsi="仿宋_GB2312" w:cs="仿宋_GB2312" w:eastAsia="仿宋_GB2312"/>
                <w:sz w:val="32"/>
                <w:color w:val="000000"/>
              </w:rPr>
              <w:t>纳税人识别号</w:t>
            </w:r>
            <w:r>
              <w:rPr>
                <w:rFonts w:ascii="仿宋_GB2312" w:hAnsi="仿宋_GB2312" w:cs="仿宋_GB2312" w:eastAsia="仿宋_GB2312"/>
                <w:sz w:val="32"/>
                <w:color w:val="000000"/>
              </w:rPr>
              <w:t>:12610100437202545W</w:t>
            </w:r>
          </w:p>
          <w:p>
            <w:pPr>
              <w:pStyle w:val="null3"/>
              <w:ind w:firstLine="640"/>
              <w:jc w:val="both"/>
            </w:pPr>
            <w:r>
              <w:rPr>
                <w:rFonts w:ascii="仿宋_GB2312" w:hAnsi="仿宋_GB2312" w:cs="仿宋_GB2312" w:eastAsia="仿宋_GB2312"/>
                <w:sz w:val="32"/>
                <w:color w:val="000000"/>
              </w:rPr>
              <w:t>地址</w:t>
            </w:r>
            <w:r>
              <w:rPr>
                <w:rFonts w:ascii="仿宋_GB2312" w:hAnsi="仿宋_GB2312" w:cs="仿宋_GB2312" w:eastAsia="仿宋_GB2312"/>
                <w:sz w:val="32"/>
                <w:color w:val="000000"/>
              </w:rPr>
              <w:t>:</w:t>
            </w:r>
            <w:r>
              <w:rPr>
                <w:rFonts w:ascii="仿宋_GB2312" w:hAnsi="仿宋_GB2312" w:cs="仿宋_GB2312" w:eastAsia="仿宋_GB2312"/>
                <w:sz w:val="32"/>
                <w:color w:val="000000"/>
              </w:rPr>
              <w:t xml:space="preserve">西安市灞桥区港务大道 </w:t>
            </w:r>
            <w:r>
              <w:rPr>
                <w:rFonts w:ascii="仿宋_GB2312" w:hAnsi="仿宋_GB2312" w:cs="仿宋_GB2312" w:eastAsia="仿宋_GB2312"/>
                <w:sz w:val="32"/>
                <w:color w:val="000000"/>
              </w:rPr>
              <w:t>396</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电话：</w:t>
            </w:r>
            <w:r>
              <w:rPr>
                <w:rFonts w:ascii="仿宋_GB2312" w:hAnsi="仿宋_GB2312" w:cs="仿宋_GB2312" w:eastAsia="仿宋_GB2312"/>
                <w:sz w:val="32"/>
                <w:color w:val="000000"/>
              </w:rPr>
              <w:t>029-88092201</w:t>
            </w:r>
          </w:p>
          <w:p>
            <w:pPr>
              <w:pStyle w:val="null3"/>
              <w:ind w:firstLine="640"/>
            </w:pPr>
            <w:r>
              <w:rPr>
                <w:rFonts w:ascii="仿宋_GB2312" w:hAnsi="仿宋_GB2312" w:cs="仿宋_GB2312" w:eastAsia="仿宋_GB2312"/>
                <w:sz w:val="32"/>
              </w:rPr>
              <w:t>四、其他</w:t>
            </w:r>
            <w:r>
              <w:rPr>
                <w:rFonts w:ascii="仿宋_GB2312" w:hAnsi="仿宋_GB2312" w:cs="仿宋_GB2312" w:eastAsia="仿宋_GB2312"/>
                <w:sz w:val="32"/>
                <w:b/>
                <w:color w:val="3498DB"/>
              </w:rPr>
              <w:t>★(本项为实质性要求，不可负偏离)</w:t>
            </w:r>
          </w:p>
          <w:p>
            <w:pPr>
              <w:pStyle w:val="null3"/>
              <w:ind w:firstLine="640"/>
              <w:jc w:val="both"/>
            </w:pPr>
            <w:r>
              <w:rPr>
                <w:rFonts w:ascii="仿宋_GB2312" w:hAnsi="仿宋_GB2312" w:cs="仿宋_GB2312" w:eastAsia="仿宋_GB2312"/>
                <w:sz w:val="32"/>
                <w:b/>
                <w:color w:val="000000"/>
              </w:rPr>
              <w:t>服务质量与合规性</w:t>
            </w:r>
          </w:p>
          <w:p>
            <w:pPr>
              <w:pStyle w:val="null3"/>
              <w:ind w:firstLine="640"/>
            </w:pPr>
            <w:r>
              <w:rPr>
                <w:rFonts w:ascii="仿宋_GB2312" w:hAnsi="仿宋_GB2312" w:cs="仿宋_GB2312" w:eastAsia="仿宋_GB2312"/>
                <w:sz w:val="32"/>
              </w:rPr>
              <w:t>服务执行的标准、规范：</w:t>
            </w:r>
          </w:p>
          <w:p>
            <w:pPr>
              <w:pStyle w:val="null3"/>
              <w:ind w:firstLine="640"/>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）国家标准、规范；</w:t>
            </w:r>
          </w:p>
          <w:p>
            <w:pPr>
              <w:pStyle w:val="null3"/>
              <w:ind w:firstLine="640"/>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）行业标准、规范；</w:t>
            </w:r>
          </w:p>
          <w:p>
            <w:pPr>
              <w:pStyle w:val="null3"/>
              <w:ind w:firstLine="640"/>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）地方标准、规范；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）企业标准、规范</w:t>
            </w:r>
            <w:r>
              <w:rPr>
                <w:rFonts w:ascii="仿宋_GB2312" w:hAnsi="仿宋_GB2312" w:cs="仿宋_GB2312" w:eastAsia="仿宋_GB2312"/>
                <w:sz w:val="3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自保单生效之日起一年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按合同约定，以保单为验收依据。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保险费单价金额不变，最终以合同确定的实际参保人数为准，收到保单发票后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 壹 套、副本 贰 套、电子版 壹 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1月1日至今其基本开户银行出具的资信证明（需随附开户证明材料）或财政部门认可的政府采购专业担保机构出具的投标担保函（以上三种形式的资料提供任何一种即可），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有依法缴纳税收和社会保障资金的良好记录：提供时间在2025年1月1日至今任意时段的缴纳证明，提供复印件并进行电子签章；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书面声明：（1）参加政府采购活动前三年内，在经营活动中没有重大违法记录的书面声明，需进行电子签章；（2）具有履行本合同所必需的设备和专业技术能力的声明，需进行电子签章；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1）法定代表人直接参加投标的，须提供法定代表人身份证明；法定代表人授权代表参加投标的，须提供法定代表人授权委托书，需进行电子签章；（2）供应商须具有中国保险监督管理委员会颁发的经营保险业务许可证，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供应商企业关系关联及联合体说明：单位负责人为同一人或者存在直接控股、管理关系的不同供应商，不得参加同一合同项下的政府采购活动；本项目不允许联合体磋商，提供声明并进行电子签章；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5）同一保险机构只允许其本部或一家分支机构参与磋商：同一保险机构只允许其本部或一家分支机构参与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业绩.docx 保密措施.docx 中小企业声明函 报价表 资格证明文件.docx 响应文件封面 保险内容.docx 分项报价表.docx 应急预案.docx 理赔服务.docx 增值服务.docx 售后服务.docx 残疾人福利性单位声明函 赔付限额.docx 项目组成员.docx 标的清单 响应函 商务及技术偏离表.docx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响应文件封面 分项报价表.docx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（3）计量单位、报价货币均符合磋商文件要求；（4）未超出采购预算或竞争性磋商文件规定的最高限价。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保险内容.docx 业绩.docx 保密措施.docx 应急预案.docx 理赔服务.docx 增值服务.docx 售后服务.docx 赔付限额.docx 项目组成员.docx 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无其他竞争性磋商文件或法规明确规定响应无效的事项</w:t>
            </w:r>
          </w:p>
        </w:tc>
        <w:tc>
          <w:tcPr>
            <w:tcW w:type="dxa" w:w="3322"/>
          </w:tcPr>
          <w:p>
            <w:pPr>
              <w:pStyle w:val="null3"/>
            </w:pPr>
            <w:r>
              <w:rPr>
                <w:rFonts w:ascii="仿宋_GB2312" w:hAnsi="仿宋_GB2312" w:cs="仿宋_GB2312" w:eastAsia="仿宋_GB2312"/>
              </w:rPr>
              <w:t>没有不符合竞争性磋商文件规定的被视为无效响应的其他条款</w:t>
            </w:r>
          </w:p>
        </w:tc>
        <w:tc>
          <w:tcPr>
            <w:tcW w:type="dxa" w:w="1661"/>
          </w:tcPr>
          <w:p>
            <w:pPr>
              <w:pStyle w:val="null3"/>
            </w:pPr>
            <w:r>
              <w:rPr>
                <w:rFonts w:ascii="仿宋_GB2312" w:hAnsi="仿宋_GB2312" w:cs="仿宋_GB2312" w:eastAsia="仿宋_GB2312"/>
              </w:rPr>
              <w:t>业绩.docx 保密措施.docx 中小企业声明函 报价表 资格证明文件.docx 响应文件封面 保险内容.docx 分项报价表.docx 应急预案.docx 理赔服务.docx 增值服务.docx 售后服务.docx 残疾人福利性单位声明函 赔付限额.docx 项目组成员.docx 标的清单 响应函 商务及技术偏离表.docx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参保明细</w:t>
            </w:r>
          </w:p>
        </w:tc>
        <w:tc>
          <w:tcPr>
            <w:tcW w:type="dxa" w:w="2492"/>
          </w:tcPr>
          <w:p>
            <w:pPr>
              <w:pStyle w:val="null3"/>
            </w:pPr>
            <w:r>
              <w:rPr>
                <w:rFonts w:ascii="仿宋_GB2312" w:hAnsi="仿宋_GB2312" w:cs="仿宋_GB2312" w:eastAsia="仿宋_GB2312"/>
              </w:rPr>
              <w:t>根据供应商针对本项目保险责任、理赔范围、保险项目和保险金额（被保险人的给付标准）进行综合比较，内容全面、详尽合理、可行性强、完全满足采购人的要求计10分； 每有一项不满足采购人的要求扣1分，扣完为止。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商务及技术偏离表.docx</w:t>
            </w:r>
          </w:p>
        </w:tc>
      </w:tr>
      <w:tr>
        <w:tc>
          <w:tcPr>
            <w:tcW w:type="dxa" w:w="831"/>
            <w:vMerge/>
          </w:tcPr>
          <w:p/>
        </w:tc>
        <w:tc>
          <w:tcPr>
            <w:tcW w:type="dxa" w:w="1661"/>
          </w:tcPr>
          <w:p>
            <w:pPr>
              <w:pStyle w:val="null3"/>
            </w:pPr>
            <w:r>
              <w:rPr>
                <w:rFonts w:ascii="仿宋_GB2312" w:hAnsi="仿宋_GB2312" w:cs="仿宋_GB2312" w:eastAsia="仿宋_GB2312"/>
              </w:rPr>
              <w:t>理赔服务</w:t>
            </w:r>
          </w:p>
        </w:tc>
        <w:tc>
          <w:tcPr>
            <w:tcW w:type="dxa" w:w="2492"/>
          </w:tcPr>
          <w:p>
            <w:pPr>
              <w:pStyle w:val="null3"/>
            </w:pPr>
            <w:r>
              <w:rPr>
                <w:rFonts w:ascii="仿宋_GB2312" w:hAnsi="仿宋_GB2312" w:cs="仿宋_GB2312" w:eastAsia="仿宋_GB2312"/>
              </w:rPr>
              <w:t>一、评审内容 针对本项目具有完整的项目理赔服务方案，包括①项目理赔程序及服务流程、②报案时效、③理赔时效、理赔响应时间方案、④对被保险人理赔材料的处理方案等内容。 二、评审标准 1、完整性：方案必须全面，对评审内容中的各项要求有详细描述； 2、可实施性：切合本项目实际情况，可行性强。 3、针对性：方案能够紧扣项目实际情况，内容科学合理。 三、赋分标准（满分12分） 每小条中每完全满足一个评审标准得1分，满分3分。本项满分12分。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理赔服务.docx</w:t>
            </w:r>
          </w:p>
        </w:tc>
      </w:tr>
      <w:tr>
        <w:tc>
          <w:tcPr>
            <w:tcW w:type="dxa" w:w="831"/>
            <w:vMerge/>
          </w:tcPr>
          <w:p/>
        </w:tc>
        <w:tc>
          <w:tcPr>
            <w:tcW w:type="dxa" w:w="1661"/>
          </w:tcPr>
          <w:p>
            <w:pPr>
              <w:pStyle w:val="null3"/>
            </w:pPr>
            <w:r>
              <w:rPr>
                <w:rFonts w:ascii="仿宋_GB2312" w:hAnsi="仿宋_GB2312" w:cs="仿宋_GB2312" w:eastAsia="仿宋_GB2312"/>
              </w:rPr>
              <w:t>保险内容</w:t>
            </w:r>
          </w:p>
        </w:tc>
        <w:tc>
          <w:tcPr>
            <w:tcW w:type="dxa" w:w="2492"/>
          </w:tcPr>
          <w:p>
            <w:pPr>
              <w:pStyle w:val="null3"/>
            </w:pPr>
            <w:r>
              <w:rPr>
                <w:rFonts w:ascii="仿宋_GB2312" w:hAnsi="仿宋_GB2312" w:cs="仿宋_GB2312" w:eastAsia="仿宋_GB2312"/>
              </w:rPr>
              <w:t>一、评审内容 供应商须列明①参保的保险内容、②索赔时所需提供的资料。 二、评审标准 1、完整性：内容必须全面，对评审内容中的各项要求有详细描述； 2、可实施性：切合本项目实际情况，可行性强。资料便捷明了、方便操作。 3、针对性：方案能够紧扣项目实际情况，内容科学合理。 三、赋分标准（满分6分） 每小条中每完全满足一个评审标准得1分，满分3分。本项满分6分。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保险内容.docx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供应商提供的①定期巡访方案、②出案后定期回访方案。 二、评审标准 1、完整性：内容必须全面，对评审内容中的各项要求有详细描述； 2、可实施性：切合本项目实际情况，可行性强。 3、针对性：方案能够紧扣项目实际情况，内容科学合理。 三、赋分标准（满分6分） 每小条中每完全满足一个评审标准得1分，满分3分。本项满分6分。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1.对甲方可认定责任的事故不设报案时限，计1分。 2.对被保险人提供理赔材料有欠缺的协助处理方案，得1分。 3、对被保险人提供理赔材料有错误的协助处理方案。得1分。 4、能够认同甲方对特殊事故的处理意见，有通融赔付机制和案例，得1分； 5、有上门收取甲方理赔资料的服务流程得1分。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供应商应保证参保人员所有信息数据不得外泄，有相应的保密方案及保密措施。 二、评审标准 1、完整性：内容必须全面，对评审内容中的各项要求有详细描述； 2、可实施性：切合本项目实际情况，可行性强。 3、针对性：方案能够紧扣项目实际情况，内容科学合理。 三、赋分标准（满分3分） 每小条中每完全满足一个评审标准得1分，满分3分。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一、评审内容 针对本项目工作小组的设立及人员配备。 ①建立专门项目小组、②出案后安排专人定期回访。 二、评审标准 1、完整性：内容必须全面，提供小组人员名单及相关证件； 2、可实施性：切合本项目实际情况，可行性强。 3、针对性：能够紧扣项目实际情况，内容科学合理。 三、赋分标准（满分6分） 每小条中每完全满足一个评审标准得1分，满分3分。本项满分6分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项目组成员.docx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针对本项目有相应的应急措施，①突发事件的处理机制、②事故响应与医疗处置、③材料准备与责任认定、④理赔程序与款项落实。 二、评审标准 1、完整性：内容必须全面，对评审内容中的各项要求有详细描述； 2、可实施性：切合本项目实际情况，可行性强。 3、针对性：方案能够紧扣项目实际情况，内容科学合理。 三、赋分标准（满分12分） 每小条中每完全满足一个评审标准得1分，满分3分。本项满分12分。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根据供应商提供的2022年1月至今所投同类业绩（以合同签订日期为准，仅限供应商本身，提供合同复印件）进行评定，每份计1分，最高计5分。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赔付限额</w:t>
            </w:r>
          </w:p>
        </w:tc>
        <w:tc>
          <w:tcPr>
            <w:tcW w:type="dxa" w:w="2492"/>
          </w:tcPr>
          <w:p>
            <w:pPr>
              <w:pStyle w:val="null3"/>
            </w:pPr>
            <w:r>
              <w:rPr>
                <w:rFonts w:ascii="仿宋_GB2312" w:hAnsi="仿宋_GB2312" w:cs="仿宋_GB2312" w:eastAsia="仿宋_GB2312"/>
              </w:rPr>
              <w:t>以磋商文件规定的赔付限额为基数，每有一项赔付限额提高计1分，最高计5分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赔付限额.docx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满足竞争性磋商文件要求且评审报价最低的报价为评标基准价，其价格分为满分。其他供应商的价格分统一按照下列公式计算： 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详见附件：理赔服务.docx</w:t>
      </w:r>
    </w:p>
    <w:p>
      <w:pPr>
        <w:pStyle w:val="null3"/>
        <w:ind w:firstLine="960"/>
      </w:pPr>
      <w:r>
        <w:rPr>
          <w:rFonts w:ascii="仿宋_GB2312" w:hAnsi="仿宋_GB2312" w:cs="仿宋_GB2312" w:eastAsia="仿宋_GB2312"/>
        </w:rPr>
        <w:t>详见附件：保险内容.docx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详见附件：项目组成员.docx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详见附件：赔付限额.docx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详见附件：校（园）方责任保险-西安铁路职业技术学院服务合同.docx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