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版本号：E-254032XA008-0320250728001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校园安全电路改造项目监理服务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E-254032XA008-03</w:t>
      </w:r>
      <w:r>
        <w:br/>
      </w:r>
      <w:r>
        <w:br/>
      </w:r>
      <w:r>
        <w:br/>
      </w:r>
    </w:p>
    <w:p>
      <w:pPr>
        <w:pStyle w:val="null3"/>
        <w:jc w:val="center"/>
        <w:outlineLvl w:val="2"/>
      </w:pPr>
      <w:r>
        <w:rPr>
          <w:rFonts w:ascii="仿宋_GB2312" w:hAnsi="仿宋_GB2312" w:cs="仿宋_GB2312" w:eastAsia="仿宋_GB2312"/>
          <w:sz w:val="28"/>
          <w:b/>
        </w:rPr>
        <w:t>西安旅游职业中等专业学校</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西安旅游职业中等专业学校</w:t>
      </w:r>
      <w:r>
        <w:rPr>
          <w:rFonts w:ascii="仿宋_GB2312" w:hAnsi="仿宋_GB2312" w:cs="仿宋_GB2312" w:eastAsia="仿宋_GB2312"/>
        </w:rPr>
        <w:t>委托，拟对</w:t>
      </w:r>
      <w:r>
        <w:rPr>
          <w:rFonts w:ascii="仿宋_GB2312" w:hAnsi="仿宋_GB2312" w:cs="仿宋_GB2312" w:eastAsia="仿宋_GB2312"/>
        </w:rPr>
        <w:t>校园安全电路改造项目监理服务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E-254032XA008-03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校园安全电路改造项目监理服务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校园安全电路改造项目监理服务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采购包1（校园安全电路改造项目监理服务）：属于专门面向中小企业采购。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1、企业资质：供应商须具备建设行政主管部门颁发的工程监理综合资质或电力工程监理乙级及以上资质</w:t>
      </w:r>
    </w:p>
    <w:p>
      <w:pPr>
        <w:pStyle w:val="null3"/>
      </w:pPr>
      <w:r>
        <w:rPr>
          <w:rFonts w:ascii="仿宋_GB2312" w:hAnsi="仿宋_GB2312" w:cs="仿宋_GB2312" w:eastAsia="仿宋_GB2312"/>
        </w:rPr>
        <w:t>2、项目总监：拟派项目总监需具备电力工程专业注册监理工程师，并在本单位注册；拟派项目总监理工程师有在监项目的，其在监项目不得超过2个（含2个），须出具在监项目建设单位的书面同意书；</w:t>
      </w:r>
    </w:p>
    <w:p>
      <w:pPr>
        <w:pStyle w:val="null3"/>
      </w:pPr>
      <w:r>
        <w:rPr>
          <w:rFonts w:ascii="仿宋_GB2312" w:hAnsi="仿宋_GB2312" w:cs="仿宋_GB2312" w:eastAsia="仿宋_GB2312"/>
        </w:rPr>
        <w:t>3、投标授权代表：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西安旅游职业中等专业学校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西安市长安区韦曲街道办事处西四府村甲字3号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029-85990844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赵伟、杨晶莹、李静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029-89187077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 家发展改革委员会办公厅颁发的《关于招标代理服务收费有关问题的通 知》（发改办价格[2003] 857号）的有关 规定标准下浮10%向采购代理机构一次付清代理服务费。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西安旅游职业中等专业学校</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西安旅游职业中等专业学校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西安旅游职业中等专业学校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联系人：李静</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校园安全电路改造项目监理服务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firstLine="548"/>
              <w:jc w:val="both"/>
            </w:pPr>
            <w:r>
              <w:rPr>
                <w:rFonts w:ascii="仿宋_GB2312" w:hAnsi="仿宋_GB2312" w:cs="仿宋_GB2312" w:eastAsia="仿宋_GB2312"/>
                <w:sz w:val="28"/>
              </w:rPr>
              <w:t>一、工程监理标准</w:t>
            </w:r>
          </w:p>
          <w:p>
            <w:pPr>
              <w:pStyle w:val="null3"/>
              <w:ind w:left="15" w:firstLine="548"/>
              <w:jc w:val="both"/>
            </w:pPr>
            <w:r>
              <w:rPr>
                <w:rFonts w:ascii="仿宋_GB2312" w:hAnsi="仿宋_GB2312" w:cs="仿宋_GB2312" w:eastAsia="仿宋_GB2312"/>
                <w:sz w:val="28"/>
              </w:rPr>
              <w:t>1、《建设工程监理规范》（GB 50319-2013）。</w:t>
            </w:r>
          </w:p>
          <w:p>
            <w:pPr>
              <w:pStyle w:val="null3"/>
              <w:ind w:left="15" w:firstLine="548"/>
              <w:jc w:val="both"/>
            </w:pPr>
            <w:r>
              <w:rPr>
                <w:rFonts w:ascii="仿宋_GB2312" w:hAnsi="仿宋_GB2312" w:cs="仿宋_GB2312" w:eastAsia="仿宋_GB2312"/>
                <w:sz w:val="28"/>
              </w:rPr>
              <w:t>2、除合同另有约定外，本工程适用现行国家、省、市、行业和地方规范、标准和规程。规范、标准和规程如发生不一致时，则以要求最为严格的规范、规程或标准作为工作依据。</w:t>
            </w:r>
          </w:p>
          <w:p>
            <w:pPr>
              <w:pStyle w:val="null3"/>
              <w:ind w:left="15" w:firstLine="548"/>
              <w:jc w:val="both"/>
            </w:pPr>
            <w:r>
              <w:rPr>
                <w:rFonts w:ascii="仿宋_GB2312" w:hAnsi="仿宋_GB2312" w:cs="仿宋_GB2312" w:eastAsia="仿宋_GB2312"/>
                <w:sz w:val="28"/>
              </w:rPr>
              <w:t>3、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p>
            <w:pPr>
              <w:pStyle w:val="null3"/>
              <w:ind w:left="15" w:firstLine="548"/>
              <w:jc w:val="both"/>
            </w:pPr>
            <w:r>
              <w:rPr>
                <w:rFonts w:ascii="仿宋_GB2312" w:hAnsi="仿宋_GB2312" w:cs="仿宋_GB2312" w:eastAsia="仿宋_GB2312"/>
                <w:sz w:val="28"/>
              </w:rPr>
              <w:t>二、工程概况：</w:t>
            </w:r>
          </w:p>
          <w:p>
            <w:pPr>
              <w:pStyle w:val="null3"/>
              <w:ind w:left="15" w:firstLine="548"/>
              <w:jc w:val="both"/>
            </w:pPr>
            <w:r>
              <w:rPr>
                <w:rFonts w:ascii="仿宋_GB2312" w:hAnsi="仿宋_GB2312" w:cs="仿宋_GB2312" w:eastAsia="仿宋_GB2312"/>
                <w:sz w:val="28"/>
              </w:rPr>
              <w:t>本期增容</w:t>
            </w:r>
            <w:r>
              <w:rPr>
                <w:rFonts w:ascii="仿宋_GB2312" w:hAnsi="仿宋_GB2312" w:cs="仿宋_GB2312" w:eastAsia="仿宋_GB2312"/>
                <w:sz w:val="28"/>
              </w:rPr>
              <w:t>1600kVA，配置800kVA箱变2台；主要包含①154宁十六线一中支线#07杆至环网柜之间电缆，更换为YJV22-8.7/15-3×400mm²型。在#07杆配置一、二次融柱上断路器1套、隔离开关1套、避雷器1组；②拆除原环网柜至现有800kVA箱变电缆，从环网柜新出电缆一回至新建1#800kVA箱变，电缆型号YJV22-8.7/15-3×120mm²；③从新建1#800kVA箱变新出电缆一回至现有800kVA箱变，电缆型号YJV22-8.7/15-3×95mm²；④从新建1#800kVA箱变新出电缆一回至新建2#800kVA箱变，电缆型号YJV22-8.7/15-3×95mm²。另有男女宿舍楼、艺术楼、厨房、监控机房及室外线路改造。</w:t>
            </w:r>
          </w:p>
          <w:p>
            <w:pPr>
              <w:pStyle w:val="null3"/>
              <w:ind w:left="15" w:firstLine="548"/>
              <w:jc w:val="both"/>
            </w:pPr>
            <w:r>
              <w:rPr>
                <w:rFonts w:ascii="仿宋_GB2312" w:hAnsi="仿宋_GB2312" w:cs="仿宋_GB2312" w:eastAsia="仿宋_GB2312"/>
                <w:sz w:val="28"/>
              </w:rPr>
              <w:t>三、招标范围：工程施工、竣工验收及工程保修期内的缺陷修复和保修工作等全部建设任务的监理工作。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工期：60天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中标之后预付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工程竣工验收合格后，按照决算审计报告付清剩余款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建安工程费概算2462768.49元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1）法人或者其他组织出具合法有效的营业执照或事业单位法人证书等国家规定的相关证明； 2）投标人应当提供2024年度经审计的财务报告复印件；或投标文件递交截止时间前6个月内任意时间由银行出具的资信证明；或提供具有良好商业信誉和健全的财务会计制度的承诺函。（以上三种形式的资料提供任何一种即可） 3）投标文件递交截止时间前6个月内至少一个月的纳税证明或完税证明（除个人所得税外的其他任意税种）；或提供具有依法纳税良好记录的承诺函。以上两种形式的资料提供任何一种即可，依法免税的投标人应提供相关证明材料。 4）投标截止时间前6个月内至少一个月的社会保障资金缴存单据或社保机构开具的社会保险参保缴费情况证明；或提供具有依法缴纳社会保障资金良好记录的承诺函。以上两种形式的资料提供任何一种即可，依法不需要缴纳社会保障资金的投标人应提供相关证明材料； 5）提供“具备履行合同所必需的设备和专业技术能力的承诺函”； 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投标人应当提供2024年度经审计的财务报告复印件；或投标文件递交截止时间前6个月内任意时间由银行出具的资信证明；或提供具有良好商业信誉和健全的财务会计制度的承诺函；</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供应商须具备建设行政主管部门颁发的工程监理综合资质或电力工程监理乙级及以上资质</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拟派项目总监需具备电力工程专业注册监理工程师，并在本单位注册；拟派项目总监理工程师有在监项目的，其在监项目不得超过2个（含2个），须出具在监项目建设单位的书面同意书；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响应文件的签署、加盖印章合格、有效。</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响应文件封面 中小企业声明函 响应函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磋商有效期符合磋商文件要求。</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标的清单 报价表 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监理服务期符合磋商文件要求</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工程质量要求符合磋商文件要求。</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磋商响应中没有出现磋商文件规定的其它无效文件情形。</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拟派项目总监具备中级级以上职称得3分； 拟派总监具有一项类似监理业绩得1分，最高得2分。 注：需提供人员相关证明材料，业绩需提供中标通知 书或合同（需体现总监姓名）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1、根据项目部人员专业、数量及工作经验等综合对比赋分（0-5分） 2、拟派项目组成员中，每提供一名中级及以上职称的人员得2分，每提供一名注册类执业证书的人员得3分，合计得分最高不得超过10分。 注：以供应商提供的拟派人员注册执业证书或职称证书复印件作为评审依据，未提供不得分。 注：需提供项目部人员相关证明材料。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监理检测设备</w:t>
            </w:r>
          </w:p>
        </w:tc>
        <w:tc>
          <w:tcPr>
            <w:tcW w:type="dxa" w:w="2492"/>
          </w:tcPr>
          <w:p>
            <w:pPr>
              <w:pStyle w:val="null3"/>
            </w:pPr>
            <w:r>
              <w:rPr>
                <w:rFonts w:ascii="仿宋_GB2312" w:hAnsi="仿宋_GB2312" w:cs="仿宋_GB2312" w:eastAsia="仿宋_GB2312"/>
              </w:rPr>
              <w:t>检测设备配置齐全，满足工程检测要求，综合对比赋分（0-6分）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监理检测设备一览表.docx</w:t>
            </w:r>
          </w:p>
        </w:tc>
      </w:tr>
      <w:tr>
        <w:tc>
          <w:tcPr>
            <w:tcW w:type="dxa" w:w="831"/>
            <w:vMerge/>
          </w:tcPr>
          <w:p/>
        </w:tc>
        <w:tc>
          <w:tcPr>
            <w:tcW w:type="dxa" w:w="1661"/>
          </w:tcPr>
          <w:p>
            <w:pPr>
              <w:pStyle w:val="null3"/>
            </w:pPr>
            <w:r>
              <w:rPr>
                <w:rFonts w:ascii="仿宋_GB2312" w:hAnsi="仿宋_GB2312" w:cs="仿宋_GB2312" w:eastAsia="仿宋_GB2312"/>
              </w:rPr>
              <w:t>监理业绩</w:t>
            </w:r>
          </w:p>
        </w:tc>
        <w:tc>
          <w:tcPr>
            <w:tcW w:type="dxa" w:w="2492"/>
          </w:tcPr>
          <w:p>
            <w:pPr>
              <w:pStyle w:val="null3"/>
            </w:pPr>
            <w:r>
              <w:rPr>
                <w:rFonts w:ascii="仿宋_GB2312" w:hAnsi="仿宋_GB2312" w:cs="仿宋_GB2312" w:eastAsia="仿宋_GB2312"/>
              </w:rPr>
              <w:t>2020年1月至今具有类似工程业绩，每提供一份计3分，最高可得9分，以成交通知书或合同协议书为准。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监理业绩一览表.docx</w:t>
            </w:r>
          </w:p>
        </w:tc>
      </w:tr>
      <w:tr>
        <w:tc>
          <w:tcPr>
            <w:tcW w:type="dxa" w:w="831"/>
            <w:vMerge/>
          </w:tcPr>
          <w:p/>
        </w:tc>
        <w:tc>
          <w:tcPr>
            <w:tcW w:type="dxa" w:w="1661"/>
          </w:tcPr>
          <w:p>
            <w:pPr>
              <w:pStyle w:val="null3"/>
            </w:pPr>
            <w:r>
              <w:rPr>
                <w:rFonts w:ascii="仿宋_GB2312" w:hAnsi="仿宋_GB2312" w:cs="仿宋_GB2312" w:eastAsia="仿宋_GB2312"/>
              </w:rPr>
              <w:t>监理工作制度、目标</w:t>
            </w:r>
          </w:p>
        </w:tc>
        <w:tc>
          <w:tcPr>
            <w:tcW w:type="dxa" w:w="2492"/>
          </w:tcPr>
          <w:p>
            <w:pPr>
              <w:pStyle w:val="null3"/>
            </w:pPr>
            <w:r>
              <w:rPr>
                <w:rFonts w:ascii="仿宋_GB2312" w:hAnsi="仿宋_GB2312" w:cs="仿宋_GB2312" w:eastAsia="仿宋_GB2312"/>
              </w:rPr>
              <w:t>根据工作制度、目标综合对比赋分； ①方案科学合理，先进，可操作性强，针对性强，完全满足本项目需求的得5-10分； ②方案较明确，有较好的可操作性，基本满足本项目需求的得3-5（不包含5分）分； ③方案可操作性较差，内容存在缺陷（缺陷是指不适用项目实际情况、不可能实现的夸大情形以及涉及的规范、标准与本项目要求不一致等），得0-3（不包含3分）分；④未提供得0分。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监理质量、进度</w:t>
            </w:r>
          </w:p>
        </w:tc>
        <w:tc>
          <w:tcPr>
            <w:tcW w:type="dxa" w:w="2492"/>
          </w:tcPr>
          <w:p>
            <w:pPr>
              <w:pStyle w:val="null3"/>
            </w:pPr>
            <w:r>
              <w:rPr>
                <w:rFonts w:ascii="仿宋_GB2312" w:hAnsi="仿宋_GB2312" w:cs="仿宋_GB2312" w:eastAsia="仿宋_GB2312"/>
              </w:rPr>
              <w:t>根据控制方法及措施合理性、先进可行程度综合对比赋分（0-10分） ①方案科学合理，先进，可操作性强，针对性强，完全满足本项目需求的得5-10分； ②方案较明确，有较好的可操作性，基本满足本项目需求的得3-5（不包含5分）分； ③方案可操作性较差，内容存在缺陷（缺陷是指不适用项目实际情况、不可能实现的夸大情形以及涉及的规范、标准与本项目要求不一致等），得0-3（不包含3分）分；④未提供得0分。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安全生产管理职责及造价控制的方法及措施</w:t>
            </w:r>
          </w:p>
        </w:tc>
        <w:tc>
          <w:tcPr>
            <w:tcW w:type="dxa" w:w="2492"/>
          </w:tcPr>
          <w:p>
            <w:pPr>
              <w:pStyle w:val="null3"/>
            </w:pPr>
            <w:r>
              <w:rPr>
                <w:rFonts w:ascii="仿宋_GB2312" w:hAnsi="仿宋_GB2312" w:cs="仿宋_GB2312" w:eastAsia="仿宋_GB2312"/>
              </w:rPr>
              <w:t>根据控制方法及措施合理性、先进可行程度综合对比赋分。 ①方案科学合理，先进，可操作性强，针对性强，完全满足本项目需求的得5-10分； ②方案较明确，有较好的可操作性，基本满足本项目需求的得3-5（不包含5分）分； ③方案可操作性较差，内容存在缺陷（缺陷是指不适用项目实际情况、不可能实现的夸大情形以及涉及的规范、标准与本项目要求不一致等），得0-3（不包含3分）分；④未提供得0分。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合同及信息管理、组织协调</w:t>
            </w:r>
          </w:p>
        </w:tc>
        <w:tc>
          <w:tcPr>
            <w:tcW w:type="dxa" w:w="2492"/>
          </w:tcPr>
          <w:p>
            <w:pPr>
              <w:pStyle w:val="null3"/>
            </w:pPr>
            <w:r>
              <w:rPr>
                <w:rFonts w:ascii="仿宋_GB2312" w:hAnsi="仿宋_GB2312" w:cs="仿宋_GB2312" w:eastAsia="仿宋_GB2312"/>
              </w:rPr>
              <w:t>根据响应内容综合对比赋分 ①方案科学合理，先进，可操作性强，针对性强，完全满足本项目需求的得5-10分； ②方案较明确，有较好的可操作性，基本满足本项目需求的得3-5（不包含5分）分； ③方案可操作性较差，内容存在缺陷（缺陷是指不适用项目实际情况、不可能实现的夸大情形以及涉及的规范、标准与本项目要求不一致等），得0-3（不包含3分）分；④未提供得0分。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保修阶段的服务管理措施及合理化建议</w:t>
            </w:r>
          </w:p>
        </w:tc>
        <w:tc>
          <w:tcPr>
            <w:tcW w:type="dxa" w:w="2492"/>
          </w:tcPr>
          <w:p>
            <w:pPr>
              <w:pStyle w:val="null3"/>
            </w:pPr>
            <w:r>
              <w:rPr>
                <w:rFonts w:ascii="仿宋_GB2312" w:hAnsi="仿宋_GB2312" w:cs="仿宋_GB2312" w:eastAsia="仿宋_GB2312"/>
              </w:rPr>
              <w:t>根据措施及建议的合理性、可行程度综合对比赋分 ①方案科学合理，先进，可操作性强，针对性强，完全满足本项目需求的得5-10分； ②方案较明确，有较好的可操作性，基本满足本项目需求的得3-5（不包含5分）分； ③方案可操作性较差，内容存在缺陷（缺陷是指不适用项目实际情况、不可能实现的夸大情形以及涉及的规范、标准与本项目要求不一致等），得0-3（不包含3分）分；④未提供得0分。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采用低价优先法计算，即通过资格审查和符合性审查且最后报价最低的供应商的价格为磋商基准价，其价格分为满分。磋商报价得分＝（磋商基准价/最后磋商报价）×15 备注：当磋商小组认为某个供应商的报价明显低于其他通过符合性审查供应商的报价，有可能影响工程质量和不能诚信履约的，应要求该供应商在评审现场合理的时间内提供书面说明，必要时提交相关证明材料；供应商不能证明其报价合理的，磋商小组将其作为无效文件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详见附件：监理大纲.docx</w:t>
      </w:r>
    </w:p>
    <w:p>
      <w:pPr>
        <w:pStyle w:val="null3"/>
        <w:ind w:firstLine="960"/>
      </w:pPr>
      <w:r>
        <w:rPr>
          <w:rFonts w:ascii="仿宋_GB2312" w:hAnsi="仿宋_GB2312" w:cs="仿宋_GB2312" w:eastAsia="仿宋_GB2312"/>
        </w:rPr>
        <w:t>详见附件：监理检测设备一览表.docx</w:t>
      </w:r>
    </w:p>
    <w:p>
      <w:pPr>
        <w:pStyle w:val="null3"/>
        <w:ind w:firstLine="960"/>
      </w:pPr>
      <w:r>
        <w:rPr>
          <w:rFonts w:ascii="仿宋_GB2312" w:hAnsi="仿宋_GB2312" w:cs="仿宋_GB2312" w:eastAsia="仿宋_GB2312"/>
        </w:rPr>
        <w:t>详见附件：监理业绩一览表.docx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详见附件：供应商应提交的相关资格证明文件.docx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