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版本号：ZMZB2025ZXXZ-2820250729001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业务楼安全隐患整改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ZMZB2025ZXXZ-28</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业务楼安全隐患整改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ZMZB2025ZXXZ-28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业务楼安全隐患整改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业务楼安全隐患整改项目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采购包1（业务楼安全隐患整改项目）：属于专门面向中小企业采购。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1、施工资质：提供建筑施工总承包三级以上（含三级）资质</w:t>
      </w:r>
    </w:p>
    <w:p>
      <w:pPr>
        <w:pStyle w:val="null3"/>
      </w:pPr>
      <w:r>
        <w:rPr>
          <w:rFonts w:ascii="仿宋_GB2312" w:hAnsi="仿宋_GB2312" w:cs="仿宋_GB2312" w:eastAsia="仿宋_GB2312"/>
        </w:rPr>
        <w:t>2、法定代表人委托授权书：非法定代表人参加投标的，须提供法定代表人委托授权书及被授权人近三个月社保缴纳证明，法定代表人参加投标时,只需提供法定代表人身份证</w:t>
      </w:r>
    </w:p>
    <w:p>
      <w:pPr>
        <w:pStyle w:val="null3"/>
      </w:pPr>
      <w:r>
        <w:rPr>
          <w:rFonts w:ascii="仿宋_GB2312" w:hAnsi="仿宋_GB2312" w:cs="仿宋_GB2312" w:eastAsia="仿宋_GB2312"/>
        </w:rPr>
        <w:t>3、安全生产许可证：提供具备有效的国家建设行政主管部门颁发的安全生产许可证</w:t>
      </w:r>
    </w:p>
    <w:p>
      <w:pPr>
        <w:pStyle w:val="null3"/>
      </w:pPr>
      <w:r>
        <w:rPr>
          <w:rFonts w:ascii="仿宋_GB2312" w:hAnsi="仿宋_GB2312" w:cs="仿宋_GB2312" w:eastAsia="仿宋_GB2312"/>
        </w:rPr>
        <w:t>4、项目经理资格：拟投入的项目经理须提供在本单位注册的建筑工程专业二级（含二级）以上注册建造师证书及有效的安全生产考核合格证，同时提供无在建承诺书</w:t>
      </w:r>
    </w:p>
    <w:p>
      <w:pPr>
        <w:pStyle w:val="null3"/>
      </w:pPr>
      <w:r>
        <w:rPr>
          <w:rFonts w:ascii="仿宋_GB2312" w:hAnsi="仿宋_GB2312" w:cs="仿宋_GB2312" w:eastAsia="仿宋_GB2312"/>
        </w:rPr>
        <w:t>5、外地企业备案：外地企业提供在“陕西省建筑市场监管与诚信信息一体化平台”上登记的基本信息界面截图</w:t>
      </w:r>
    </w:p>
    <w:p>
      <w:pPr>
        <w:pStyle w:val="null3"/>
      </w:pPr>
      <w:r>
        <w:rPr>
          <w:rFonts w:ascii="仿宋_GB2312" w:hAnsi="仿宋_GB2312" w:cs="仿宋_GB2312" w:eastAsia="仿宋_GB2312"/>
        </w:rPr>
        <w:t>6、本项目不接受由西安市中心血站职工及其亲属投资举办的企业参加投标：本项目不接受由西安市中心血站职工及其亲属投资举办的企业参加投标</w:t>
      </w:r>
    </w:p>
    <w:p>
      <w:pPr>
        <w:pStyle w:val="null3"/>
      </w:pPr>
      <w:r>
        <w:rPr>
          <w:rFonts w:ascii="仿宋_GB2312" w:hAnsi="仿宋_GB2312" w:cs="仿宋_GB2312" w:eastAsia="仿宋_GB2312"/>
        </w:rPr>
        <w:t>7、联合体：本项目不接受联合体投标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029-85212746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30万元以上的参照国家计委颁发的《招标代理服务收赛管理暂行办法》(计价格[2002]1980号)及(发改办价格[2011]534号)的规定收费标准80%计取，中标金额30万元(含)以下的参照国家计委颁发的《招标代理服务收费管理暂行办法》(计价格[2002]1980号)及(发改办价格[2011]534号)的规定收标准90%计取。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踏勘时间：2025-08-07 09:30:00</w:t>
            </w:r>
          </w:p>
          <w:p>
            <w:pPr>
              <w:pStyle w:val="null3"/>
              <w:ind w:firstLine="975"/>
            </w:pPr>
            <w:r>
              <w:rPr>
                <w:rFonts w:ascii="仿宋_GB2312" w:hAnsi="仿宋_GB2312" w:cs="仿宋_GB2312" w:eastAsia="仿宋_GB2312"/>
              </w:rPr>
              <w:t>踏勘地点：西安市中心血站门口集合</w:t>
            </w:r>
          </w:p>
          <w:p>
            <w:pPr>
              <w:pStyle w:val="null3"/>
              <w:ind w:firstLine="975"/>
            </w:pPr>
            <w:r>
              <w:rPr>
                <w:rFonts w:ascii="仿宋_GB2312" w:hAnsi="仿宋_GB2312" w:cs="仿宋_GB2312" w:eastAsia="仿宋_GB2312"/>
              </w:rPr>
              <w:t>联系人：李彦锡</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西安市中心血站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按照采购文件和合同条款为准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594,022.28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业务楼安全隐患整改</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标的名称：业务楼安全隐患整改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项目概况：西安市中心血站，因旧业务楼</w:t>
            </w:r>
            <w:r>
              <w:rPr>
                <w:rFonts w:ascii="仿宋_GB2312" w:hAnsi="仿宋_GB2312" w:cs="仿宋_GB2312" w:eastAsia="仿宋_GB2312"/>
                <w:sz w:val="21"/>
              </w:rPr>
              <w:t>2层南侧位置裙楼（建筑面积约为200平方米）地基与主楼不是一体，存在安全隐患，为确保建筑物安全，拟对旧业务楼裙楼进行拆除及封闭安全出口并消除安全隐患。对拆除后的外墙进行封闭并恢复外立面，对恢复后的房间加装一台空调。完善消防通道，确保疏散功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工程内容：为确保建筑物安全，本项目主要对旧业务楼裙楼进行拆除，消除安全隐患。</w:t>
            </w:r>
          </w:p>
          <w:p>
            <w:pPr>
              <w:pStyle w:val="null3"/>
              <w:jc w:val="both"/>
            </w:pPr>
            <w:r>
              <w:rPr>
                <w:rFonts w:ascii="仿宋_GB2312" w:hAnsi="仿宋_GB2312" w:cs="仿宋_GB2312" w:eastAsia="仿宋_GB2312"/>
                <w:sz w:val="21"/>
              </w:rPr>
              <w:t>工程地点：西安市雁塔区朱雀路</w:t>
            </w:r>
            <w:r>
              <w:rPr>
                <w:rFonts w:ascii="仿宋_GB2312" w:hAnsi="仿宋_GB2312" w:cs="仿宋_GB2312" w:eastAsia="仿宋_GB2312"/>
                <w:sz w:val="21"/>
              </w:rPr>
              <w:t>407号。</w:t>
            </w:r>
          </w:p>
          <w:p>
            <w:pPr>
              <w:pStyle w:val="null3"/>
              <w:jc w:val="both"/>
            </w:pPr>
            <w:r>
              <w:rPr>
                <w:rFonts w:ascii="仿宋_GB2312" w:hAnsi="仿宋_GB2312" w:cs="仿宋_GB2312" w:eastAsia="仿宋_GB2312"/>
                <w:sz w:val="21"/>
              </w:rPr>
              <w:t>计划工期：自进场之日起</w:t>
            </w:r>
            <w:r>
              <w:rPr>
                <w:rFonts w:ascii="仿宋_GB2312" w:hAnsi="仿宋_GB2312" w:cs="仿宋_GB2312" w:eastAsia="仿宋_GB2312"/>
                <w:sz w:val="21"/>
              </w:rPr>
              <w:t>30个日历日内竣工。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计价依据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（一）陕西省现行工程量清单编制依据</w:t>
            </w:r>
          </w:p>
          <w:p>
            <w:pPr>
              <w:pStyle w:val="null3"/>
              <w:jc w:val="both"/>
            </w:pPr>
            <w:r>
              <w:rPr>
                <w:rFonts w:ascii="仿宋_GB2312" w:hAnsi="仿宋_GB2312" w:cs="仿宋_GB2312" w:eastAsia="仿宋_GB2312"/>
                <w:sz w:val="21"/>
              </w:rPr>
              <w:t>1.《房屋建筑与装饰工程工程量计算标准》（DB 61/T 5129-2025）；</w:t>
            </w:r>
          </w:p>
          <w:p>
            <w:pPr>
              <w:pStyle w:val="null3"/>
              <w:jc w:val="both"/>
            </w:pPr>
            <w:r>
              <w:rPr>
                <w:rFonts w:ascii="仿宋_GB2312" w:hAnsi="仿宋_GB2312" w:cs="仿宋_GB2312" w:eastAsia="仿宋_GB2312"/>
                <w:sz w:val="21"/>
              </w:rPr>
              <w:t>2.《通用安装工程工程量计算标准》（DB 61/T 5130-2025）；</w:t>
            </w:r>
          </w:p>
          <w:p>
            <w:pPr>
              <w:pStyle w:val="null3"/>
              <w:jc w:val="both"/>
            </w:pPr>
            <w:r>
              <w:rPr>
                <w:rFonts w:ascii="仿宋_GB2312" w:hAnsi="仿宋_GB2312" w:cs="仿宋_GB2312" w:eastAsia="仿宋_GB2312"/>
                <w:sz w:val="21"/>
              </w:rPr>
              <w:t>3.《市政工程工程量计算标准》（DB 61/T 5128-2025）；</w:t>
            </w:r>
          </w:p>
          <w:p>
            <w:pPr>
              <w:pStyle w:val="null3"/>
              <w:jc w:val="both"/>
            </w:pPr>
            <w:r>
              <w:rPr>
                <w:rFonts w:ascii="仿宋_GB2312" w:hAnsi="仿宋_GB2312" w:cs="仿宋_GB2312" w:eastAsia="仿宋_GB2312"/>
                <w:sz w:val="21"/>
              </w:rPr>
              <w:t>（二）建设主管部门颁发的计价依据</w:t>
            </w:r>
          </w:p>
          <w:p>
            <w:pPr>
              <w:pStyle w:val="null3"/>
              <w:jc w:val="both"/>
            </w:pPr>
            <w:r>
              <w:rPr>
                <w:rFonts w:ascii="仿宋_GB2312" w:hAnsi="仿宋_GB2312" w:cs="仿宋_GB2312" w:eastAsia="仿宋_GB2312"/>
                <w:sz w:val="21"/>
              </w:rPr>
              <w:t>1.《建设工程工程量清单计价标准》（GB/T 50500-2024）；</w:t>
            </w:r>
          </w:p>
          <w:p>
            <w:pPr>
              <w:pStyle w:val="null3"/>
              <w:jc w:val="both"/>
            </w:pPr>
            <w:r>
              <w:rPr>
                <w:rFonts w:ascii="仿宋_GB2312" w:hAnsi="仿宋_GB2312" w:cs="仿宋_GB2312" w:eastAsia="仿宋_GB2312"/>
                <w:sz w:val="21"/>
              </w:rPr>
              <w:t>2.《建设工程工程量清单计价标准》（DB 61/T 5126-2025）；</w:t>
            </w:r>
          </w:p>
          <w:p>
            <w:pPr>
              <w:pStyle w:val="null3"/>
              <w:jc w:val="both"/>
            </w:pPr>
            <w:r>
              <w:rPr>
                <w:rFonts w:ascii="仿宋_GB2312" w:hAnsi="仿宋_GB2312" w:cs="仿宋_GB2312" w:eastAsia="仿宋_GB2312"/>
                <w:sz w:val="21"/>
              </w:rPr>
              <w:t>3.《陕西省建设工程费用规则》（2025）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施工要求</w:t>
            </w:r>
            <w:r>
              <w:rPr>
                <w:rFonts w:ascii="仿宋_GB2312" w:hAnsi="仿宋_GB2312" w:cs="仿宋_GB2312" w:eastAsia="仿宋_GB2312"/>
                <w:sz w:val="21"/>
              </w:rPr>
              <w:t>:（1）在施工期间，中标供应商必须注意院内人员安全，加强安全措施，并对施工人员进行安全教育。施工人员必须持证上岗</w:t>
            </w:r>
            <w:r>
              <w:rPr>
                <w:rFonts w:ascii="仿宋_GB2312" w:hAnsi="仿宋_GB2312" w:cs="仿宋_GB2312" w:eastAsia="仿宋_GB2312"/>
                <w:sz w:val="21"/>
              </w:rPr>
              <w:t>。</w:t>
            </w:r>
          </w:p>
          <w:p>
            <w:pPr>
              <w:pStyle w:val="null3"/>
              <w:jc w:val="both"/>
            </w:pPr>
            <w:r>
              <w:rPr>
                <w:rFonts w:ascii="仿宋_GB2312" w:hAnsi="仿宋_GB2312" w:cs="仿宋_GB2312" w:eastAsia="仿宋_GB2312"/>
              </w:rPr>
              <w:t>（2）施工过程中，必须对现有建筑物进行有效保护，若对现有建筑物造成任何损害，施工单位必须负责修复。</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质量验收标准或规范：</w:t>
            </w:r>
          </w:p>
          <w:p>
            <w:pPr>
              <w:pStyle w:val="null3"/>
              <w:jc w:val="both"/>
            </w:pPr>
            <w:r>
              <w:rPr>
                <w:rFonts w:ascii="仿宋_GB2312" w:hAnsi="仿宋_GB2312" w:cs="仿宋_GB2312" w:eastAsia="仿宋_GB2312"/>
                <w:sz w:val="21"/>
              </w:rPr>
              <w:t>《建筑拆除工程安全技术规范》（</w:t>
            </w:r>
            <w:r>
              <w:rPr>
                <w:rFonts w:ascii="仿宋_GB2312" w:hAnsi="仿宋_GB2312" w:cs="仿宋_GB2312" w:eastAsia="仿宋_GB2312"/>
                <w:sz w:val="21"/>
              </w:rPr>
              <w:t xml:space="preserve">JGJ 147-2016）  </w:t>
            </w:r>
          </w:p>
          <w:p>
            <w:pPr>
              <w:pStyle w:val="null3"/>
              <w:jc w:val="both"/>
            </w:pPr>
            <w:r>
              <w:rPr>
                <w:rFonts w:ascii="仿宋_GB2312" w:hAnsi="仿宋_GB2312" w:cs="仿宋_GB2312" w:eastAsia="仿宋_GB2312"/>
                <w:sz w:val="21"/>
              </w:rPr>
              <w:t>《房屋建筑工程抗震设防管理规定》（建设部令第</w:t>
            </w:r>
            <w:r>
              <w:rPr>
                <w:rFonts w:ascii="仿宋_GB2312" w:hAnsi="仿宋_GB2312" w:cs="仿宋_GB2312" w:eastAsia="仿宋_GB2312"/>
                <w:sz w:val="21"/>
              </w:rPr>
              <w:t xml:space="preserve">148号）涉及结构拆除部分  </w:t>
            </w:r>
          </w:p>
          <w:p>
            <w:pPr>
              <w:pStyle w:val="null3"/>
              <w:jc w:val="both"/>
            </w:pPr>
            <w:r>
              <w:rPr>
                <w:rFonts w:ascii="仿宋_GB2312" w:hAnsi="仿宋_GB2312" w:cs="仿宋_GB2312" w:eastAsia="仿宋_GB2312"/>
                <w:sz w:val="21"/>
              </w:rPr>
              <w:t>《砌体结构工程施工质量验收规范》（</w:t>
            </w:r>
            <w:r>
              <w:rPr>
                <w:rFonts w:ascii="仿宋_GB2312" w:hAnsi="仿宋_GB2312" w:cs="仿宋_GB2312" w:eastAsia="仿宋_GB2312"/>
                <w:sz w:val="21"/>
              </w:rPr>
              <w:t xml:space="preserve">GB 50203-2011）  </w:t>
            </w:r>
          </w:p>
          <w:p>
            <w:pPr>
              <w:pStyle w:val="null3"/>
              <w:jc w:val="both"/>
            </w:pPr>
            <w:r>
              <w:rPr>
                <w:rFonts w:ascii="仿宋_GB2312" w:hAnsi="仿宋_GB2312" w:cs="仿宋_GB2312" w:eastAsia="仿宋_GB2312"/>
                <w:sz w:val="21"/>
              </w:rPr>
              <w:t>《砌体结构设计规范》（</w:t>
            </w:r>
            <w:r>
              <w:rPr>
                <w:rFonts w:ascii="仿宋_GB2312" w:hAnsi="仿宋_GB2312" w:cs="仿宋_GB2312" w:eastAsia="仿宋_GB2312"/>
                <w:sz w:val="21"/>
              </w:rPr>
              <w:t xml:space="preserve">GB 50003-2011）  </w:t>
            </w:r>
          </w:p>
          <w:p>
            <w:pPr>
              <w:pStyle w:val="null3"/>
              <w:jc w:val="both"/>
            </w:pPr>
            <w:r>
              <w:rPr>
                <w:rFonts w:ascii="仿宋_GB2312" w:hAnsi="仿宋_GB2312" w:cs="仿宋_GB2312" w:eastAsia="仿宋_GB2312"/>
                <w:sz w:val="21"/>
              </w:rPr>
              <w:t>《金属与石材幕墙工程技术规范》（</w:t>
            </w:r>
            <w:r>
              <w:rPr>
                <w:rFonts w:ascii="仿宋_GB2312" w:hAnsi="仿宋_GB2312" w:cs="仿宋_GB2312" w:eastAsia="仿宋_GB2312"/>
                <w:sz w:val="21"/>
              </w:rPr>
              <w:t xml:space="preserve">JGJ 133-2001）  </w:t>
            </w:r>
          </w:p>
          <w:p>
            <w:pPr>
              <w:pStyle w:val="null3"/>
              <w:jc w:val="both"/>
            </w:pPr>
            <w:r>
              <w:rPr>
                <w:rFonts w:ascii="仿宋_GB2312" w:hAnsi="仿宋_GB2312" w:cs="仿宋_GB2312" w:eastAsia="仿宋_GB2312"/>
                <w:sz w:val="21"/>
              </w:rPr>
              <w:t>《建筑装饰装修工程质量验收标准》（</w:t>
            </w:r>
            <w:r>
              <w:rPr>
                <w:rFonts w:ascii="仿宋_GB2312" w:hAnsi="仿宋_GB2312" w:cs="仿宋_GB2312" w:eastAsia="仿宋_GB2312"/>
                <w:sz w:val="21"/>
              </w:rPr>
              <w:t xml:space="preserve">GB 50210-2018）  </w:t>
            </w:r>
          </w:p>
          <w:p>
            <w:pPr>
              <w:pStyle w:val="null3"/>
              <w:jc w:val="both"/>
            </w:pPr>
            <w:r>
              <w:rPr>
                <w:rFonts w:ascii="仿宋_GB2312" w:hAnsi="仿宋_GB2312" w:cs="仿宋_GB2312" w:eastAsia="仿宋_GB2312"/>
                <w:sz w:val="21"/>
              </w:rPr>
              <w:t>《建筑门窗工程验收规范》（</w:t>
            </w:r>
            <w:r>
              <w:rPr>
                <w:rFonts w:ascii="仿宋_GB2312" w:hAnsi="仿宋_GB2312" w:cs="仿宋_GB2312" w:eastAsia="仿宋_GB2312"/>
                <w:sz w:val="21"/>
              </w:rPr>
              <w:t xml:space="preserve">GB/T 50327-2001）  </w:t>
            </w:r>
          </w:p>
          <w:p>
            <w:pPr>
              <w:pStyle w:val="null3"/>
              <w:jc w:val="both"/>
            </w:pPr>
            <w:r>
              <w:rPr>
                <w:rFonts w:ascii="仿宋_GB2312" w:hAnsi="仿宋_GB2312" w:cs="仿宋_GB2312" w:eastAsia="仿宋_GB2312"/>
                <w:sz w:val="21"/>
              </w:rPr>
              <w:t>《铝合金门窗工程技术规范》（</w:t>
            </w:r>
            <w:r>
              <w:rPr>
                <w:rFonts w:ascii="仿宋_GB2312" w:hAnsi="仿宋_GB2312" w:cs="仿宋_GB2312" w:eastAsia="仿宋_GB2312"/>
                <w:sz w:val="21"/>
              </w:rPr>
              <w:t xml:space="preserve">JGJ 214-2010）  </w:t>
            </w:r>
          </w:p>
          <w:p>
            <w:pPr>
              <w:pStyle w:val="null3"/>
              <w:jc w:val="both"/>
            </w:pPr>
            <w:r>
              <w:rPr>
                <w:rFonts w:ascii="仿宋_GB2312" w:hAnsi="仿宋_GB2312" w:cs="仿宋_GB2312" w:eastAsia="仿宋_GB2312"/>
                <w:sz w:val="21"/>
              </w:rPr>
              <w:t>《塑料门窗工程技术规程》（</w:t>
            </w:r>
            <w:r>
              <w:rPr>
                <w:rFonts w:ascii="仿宋_GB2312" w:hAnsi="仿宋_GB2312" w:cs="仿宋_GB2312" w:eastAsia="仿宋_GB2312"/>
                <w:sz w:val="21"/>
              </w:rPr>
              <w:t xml:space="preserve">JGJ 103-2008）  </w:t>
            </w:r>
          </w:p>
          <w:p>
            <w:pPr>
              <w:pStyle w:val="null3"/>
              <w:jc w:val="both"/>
            </w:pPr>
            <w:r>
              <w:rPr>
                <w:rFonts w:ascii="仿宋_GB2312" w:hAnsi="仿宋_GB2312" w:cs="仿宋_GB2312" w:eastAsia="仿宋_GB2312"/>
                <w:sz w:val="21"/>
              </w:rPr>
              <w:t>《建筑外门窗气密、水密、抗风压性能分级及检测方法》</w:t>
            </w:r>
            <w:r>
              <w:rPr>
                <w:rFonts w:ascii="仿宋_GB2312" w:hAnsi="仿宋_GB2312" w:cs="仿宋_GB2312" w:eastAsia="仿宋_GB2312"/>
                <w:sz w:val="21"/>
              </w:rPr>
              <w:t>GB/T 7106-2008）</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违约责任</w:t>
            </w:r>
            <w:r>
              <w:rPr>
                <w:rFonts w:ascii="仿宋_GB2312" w:hAnsi="仿宋_GB2312" w:cs="仿宋_GB2312" w:eastAsia="仿宋_GB2312"/>
                <w:sz w:val="21"/>
              </w:rPr>
              <w:t>：施工单位未按期合同履约完成，将对施工企业追缴已付工程款，施工单位并承担相应利息，利息标准为中国人民银行发布</w:t>
            </w:r>
            <w:r>
              <w:rPr>
                <w:rFonts w:ascii="仿宋_GB2312" w:hAnsi="仿宋_GB2312" w:cs="仿宋_GB2312" w:eastAsia="仿宋_GB2312"/>
                <w:sz w:val="21"/>
              </w:rPr>
              <w:t>LPR利率的四倍。</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1.供应商在竞争性磋商响应文件中承诺的项目负责人及相应资质的专业技术、安全管理人员未经采购人书面同意，承包人不得调换和撤离，并按工程进度及时到位。采购人有权要求供应商撤换工作不负责任、管理不力、贻误工期和造成严重安全事故和违法乱纪的专业技术、安全管理人员。如项目负责人及相应资质的专业技术人员未按要求到位，视作违约，采购人有权按合同约定进行罚款直至单方面终止合同。 2.供应商须无条件接受采购人的现场检查和管理。 3.供应商在施工期间做好安全文明施工管理，必须重视安全，按规范操作；施工过程中佩戴安全帽，并保证自身及周边公民人身财产安全；严禁带电操作；确保车辆、人员、施工安全；若发生事故，由承包方负责并承担全部费用，任何责任与采购人无关。 4.施工的建筑垃圾应清运至有关部门指定的地点，做到工完场清。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一、商务条款：1、工期：自进场之日起30个日历日内竣工。2、工程地点：西安市雁塔区朱雀路407号。 3、质保期：验收合格后2年。4、本项目为交钥匙工程。5、款项结算：（1）合同签订后10个工作日内支付合同总价款40%作为预付款；（2）工程竣工、验收合格后15个工作日内支付合同总价款的60%； 注：商务条款为实质性响应条款，不允许负偏离，任意一项负偏离将按无效响应处理。二、中标供应商领取中标（成交）通知书时，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具有独立承担民事责任能力的法人、其他组织或自然人：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 3、税收缴纳证明：提供2024年6月以来任意一个月的依法缴纳税收的相关凭据（时间以税款所属时期为准），凭据应有税务机关或代收机关的公章或业务专用章。依法免税或无须缴纳税收的供应商，应提供相应证明文件； 4、社会保障资金缴纳证明：提供2024年6月以来任意一个月的社会保障资金缴存单据或社保机构开具的社会保险参保缴费情况证明。依法不需要缴纳社会保障资金的供应商应提供相关文件证明； 5、具有履行合同所必需的设备和专业技术能力的书面声明：具有履行合同所必需的设备和专业技术能力的书面声明； 6、没有重大违法记录的书面声明：参加政府采购活动前3年内在经营活动中没有重大违法记录的书面声明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提供建筑施工总承包三级以上（含三级）资质</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非法定代表人参加投标的，须提供法定代表人委托授权书及被授权人近三个月社保缴纳证明，法定代表人参加投标时,只需提供法定代表人身份证</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提供具备有效的国家建设行政主管部门颁发的安全生产许可证</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拟投入的项目经理须提供在本单位注册的建筑工程专业二级（含二级）以上注册建造师证书及有效的安全生产考核合格证，同时提供无在建承诺书</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外地企业备案</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本项目不接受由西安市中心血站职工及其亲属投资举办的企业参加投标</w:t>
            </w:r>
          </w:p>
        </w:tc>
        <w:tc>
          <w:tcPr>
            <w:tcW w:type="dxa" w:w="3322"/>
          </w:tcPr>
          <w:p>
            <w:pPr>
              <w:pStyle w:val="null3"/>
            </w:pPr>
            <w:r>
              <w:rPr>
                <w:rFonts w:ascii="仿宋_GB2312" w:hAnsi="仿宋_GB2312" w:cs="仿宋_GB2312" w:eastAsia="仿宋_GB2312"/>
              </w:rPr>
              <w:t>本项目不接受由西安市中心血站职工及其亲属投资举办的企业参加投标</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响应文件封面 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响应报价未超过采购预算或最高限价的（合格），响应报价超过采购预算或最高限价的（不合格）</w:t>
            </w:r>
          </w:p>
        </w:tc>
        <w:tc>
          <w:tcPr>
            <w:tcW w:type="dxa" w:w="1661"/>
          </w:tcPr>
          <w:p>
            <w:pPr>
              <w:pStyle w:val="null3"/>
            </w:pPr>
            <w:r>
              <w:rPr>
                <w:rFonts w:ascii="仿宋_GB2312" w:hAnsi="仿宋_GB2312" w:cs="仿宋_GB2312" w:eastAsia="仿宋_GB2312"/>
              </w:rPr>
              <w:t>响应文件封面 已标价工程量清单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工期满足竞争性磋商文件要求（合格），工期不满足竞争性磋商文件要求（不合格）</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质保期满足竞争性磋商文件要求（合格），质保期不满足竞争性磋商文件要求（不合格）</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响应文件签署、盖章符合竞争性磋商文件要求（合格），响应文件签署、盖章不符合竞争性磋商文件要求（不合格）</w:t>
            </w:r>
          </w:p>
        </w:tc>
        <w:tc>
          <w:tcPr>
            <w:tcW w:type="dxa" w:w="1661"/>
          </w:tcPr>
          <w:p>
            <w:pPr>
              <w:pStyle w:val="null3"/>
            </w:pPr>
            <w:r>
              <w:rPr>
                <w:rFonts w:ascii="仿宋_GB2312" w:hAnsi="仿宋_GB2312" w:cs="仿宋_GB2312" w:eastAsia="仿宋_GB2312"/>
              </w:rPr>
              <w:t>响应文件封面 已标价工程量清单 中小企业声明函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质量安全责任承诺书</w:t>
            </w:r>
          </w:p>
        </w:tc>
        <w:tc>
          <w:tcPr>
            <w:tcW w:type="dxa" w:w="3322"/>
          </w:tcPr>
          <w:p>
            <w:pPr>
              <w:pStyle w:val="null3"/>
            </w:pPr>
            <w:r>
              <w:rPr>
                <w:rFonts w:ascii="仿宋_GB2312" w:hAnsi="仿宋_GB2312" w:cs="仿宋_GB2312" w:eastAsia="仿宋_GB2312"/>
              </w:rPr>
              <w:t>响应文件提供了合格的质量安全责任承诺书（合格） 响应文件未提供或提供的质量安全责任承诺书不合格（不合格）</w:t>
            </w:r>
          </w:p>
        </w:tc>
        <w:tc>
          <w:tcPr>
            <w:tcW w:type="dxa" w:w="1661"/>
          </w:tcPr>
          <w:p>
            <w:pPr>
              <w:pStyle w:val="null3"/>
            </w:pPr>
            <w:r>
              <w:rPr>
                <w:rFonts w:ascii="仿宋_GB2312" w:hAnsi="仿宋_GB2312" w:cs="仿宋_GB2312" w:eastAsia="仿宋_GB2312"/>
              </w:rPr>
              <w:t>响应文件封面 质量安全责任承诺书.docx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法律、法规和磋商文件规定的其他无效情形</w:t>
            </w:r>
          </w:p>
        </w:tc>
        <w:tc>
          <w:tcPr>
            <w:tcW w:type="dxa" w:w="3322"/>
          </w:tcPr>
          <w:p>
            <w:pPr>
              <w:pStyle w:val="null3"/>
            </w:pPr>
            <w:r>
              <w:rPr>
                <w:rFonts w:ascii="仿宋_GB2312" w:hAnsi="仿宋_GB2312" w:cs="仿宋_GB2312" w:eastAsia="仿宋_GB2312"/>
              </w:rPr>
              <w:t>未出现法律、法规和磋商文件规定的其他无效情形（合格），出现法律、法规和磋商文件规定的其他无效情形（不合格）</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针对本项目提供具体的施工组织设计，包含： ①施工方案； ②施工进度及工期保障措施； ③施工质量保证措施； ④确保安全、文明施工的技术组织措施； ⑤拟投入本项目的设备、机械、工具等； ⑥针对突发事件的应急处理方案，提供相应的预案或保证措施； ⑦施项目经理部人员组成的情况； ⑧建筑劳动力计划安排情况。 从方案全面性、科学合理性、可操作性等方面综合评价，每项内容最高得4分，未提供不得分，满分32分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重难点及解决措施</w:t>
            </w:r>
          </w:p>
        </w:tc>
        <w:tc>
          <w:tcPr>
            <w:tcW w:type="dxa" w:w="2492"/>
          </w:tcPr>
          <w:p>
            <w:pPr>
              <w:pStyle w:val="null3"/>
            </w:pPr>
            <w:r>
              <w:rPr>
                <w:rFonts w:ascii="仿宋_GB2312" w:hAnsi="仿宋_GB2312" w:cs="仿宋_GB2312" w:eastAsia="仿宋_GB2312"/>
              </w:rPr>
              <w:t>针对本项目提供具体的重难点及解决措施，包含①对项目实施的现场情况、难易程度、历史资料匹配、成品保护等重点、难点进行分析；②对易发生质量通病、易出现安全问题、施工难度大、技术含量高的分项工程等进行说明并给出施工保障措施和专项技术方案（含主要施工工法、组织措施、检验手段等）； ③影响本项目的外在因素和可能出现的问题进行分析，并制定相关应急预案或保证措施。 从方案全面性、科学合理性、可操作性等方面综合评价，每项内容最高得3分，未提供不得分，满分9分。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重难点及解决措施.docx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供应商针对本项目提供的项目人员组成，技术负责人（职称、学历、工作年限），其他项目人员构成情况（岗位设置、专业种类及能力、针对本项目的特种作业证书、有技术职称的人员比例）等进行进行赋分。 项目人员配置齐全、合理、职责划分清晰、针对性强得4分；内容一般、基本可行得2分；不提供不计分。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主要设备及材料选用情况</w:t>
            </w:r>
          </w:p>
        </w:tc>
        <w:tc>
          <w:tcPr>
            <w:tcW w:type="dxa" w:w="2492"/>
          </w:tcPr>
          <w:p>
            <w:pPr>
              <w:pStyle w:val="null3"/>
            </w:pPr>
            <w:r>
              <w:rPr>
                <w:rFonts w:ascii="仿宋_GB2312" w:hAnsi="仿宋_GB2312" w:cs="仿宋_GB2312" w:eastAsia="仿宋_GB2312"/>
              </w:rPr>
              <w:t>针对本项目提供的主要材料选用情况，包含： ①针对本项目提供拟投入主要材料清单的合理性、完整性、实用性； ②主要材料的产品选型情况、材料品质、环保要求。从方案全面性、科学合理性、可操作性等方面综合评价，每项内容最高得6分，未提供不得分，满分12分。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主要设备及材料选用情况.docx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1、供应商提供有效期内的环境管理体系认证证书、环境管理体系认证证书、职业健康安全管理体系认证证书，每提供一个计1分，最多计3分。 2、质保期承诺：质保期延长1年得1分，最高得2分。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针对本项目提供具体的施工承诺，包含：①不拖欠农民工工资承诺；②节约成本承诺；③缴纳工人保险承诺，每项内容最高得1分，未提供不得分，满分3分。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根据提供的2022年6月1日至今类似项目合同，（以合同签订日期为准，仅限供应商本身，提供合同关键页）进行评定，每份计1分，最高计5分。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根据供应商针对本项目提供相关工程质量保修承诺进行评审，其中： ①质量保证期内的保障工作服务方案及工作计划； ②保修团队人员配备并具备相关得资格证书； ③有巡查或复查计划及质量保障措施； ④对工程维修服务响应时限有明确的承诺；每项内容最高得2.5分，未提供不得分，满分10分。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 评标基准价：即满足竞争性磋商文件要求且最终响应报价最低的报价为评标基准价。 其他供应商的价格分统一按照下列公式计算。 响应报价计分=(评标基准价／响应报价)×20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详见附件：施工承诺.docx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详见附件：重难点及解决措施.docx</w:t>
      </w:r>
    </w:p>
    <w:p>
      <w:pPr>
        <w:pStyle w:val="null3"/>
        <w:ind w:firstLine="960"/>
      </w:pPr>
      <w:r>
        <w:rPr>
          <w:rFonts w:ascii="仿宋_GB2312" w:hAnsi="仿宋_GB2312" w:cs="仿宋_GB2312" w:eastAsia="仿宋_GB2312"/>
        </w:rPr>
        <w:t>详见附件：质量安全责任承诺书.docx</w:t>
      </w:r>
    </w:p>
    <w:p>
      <w:pPr>
        <w:pStyle w:val="null3"/>
        <w:ind w:firstLine="960"/>
      </w:pPr>
      <w:r>
        <w:rPr>
          <w:rFonts w:ascii="仿宋_GB2312" w:hAnsi="仿宋_GB2312" w:cs="仿宋_GB2312" w:eastAsia="仿宋_GB2312"/>
        </w:rPr>
        <w:t>详见附件：主要设备及材料选用情况.docx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