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版本号：SXZHZB2025-ZC021-CS20250728001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蓝田县普化村任家沟下游河道等5处黑臭水体治理工程勘察设计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SXZHZB2025-ZC021-CS</w:t>
      </w:r>
      <w:r>
        <w:br/>
      </w:r>
      <w:r>
        <w:br/>
      </w:r>
      <w:r>
        <w:br/>
      </w:r>
    </w:p>
    <w:p>
      <w:pPr>
        <w:pStyle w:val="null3"/>
        <w:jc w:val="center"/>
        <w:outlineLvl w:val="2"/>
      </w:pPr>
      <w:r>
        <w:rPr>
          <w:rFonts w:ascii="仿宋_GB2312" w:hAnsi="仿宋_GB2312" w:cs="仿宋_GB2312" w:eastAsia="仿宋_GB2312"/>
          <w:sz w:val="28"/>
          <w:b/>
        </w:rPr>
        <w:t>西安市蓝田县生态环境局</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西安市蓝田县生态环境局</w:t>
      </w:r>
      <w:r>
        <w:rPr>
          <w:rFonts w:ascii="仿宋_GB2312" w:hAnsi="仿宋_GB2312" w:cs="仿宋_GB2312" w:eastAsia="仿宋_GB2312"/>
        </w:rPr>
        <w:t>委托，拟对</w:t>
      </w:r>
      <w:r>
        <w:rPr>
          <w:rFonts w:ascii="仿宋_GB2312" w:hAnsi="仿宋_GB2312" w:cs="仿宋_GB2312" w:eastAsia="仿宋_GB2312"/>
        </w:rPr>
        <w:t>蓝田县普化村任家沟下游河道等5处黑臭水体治理工程勘察设计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SXZHZB2025-ZC021-CS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蓝田县普化村任家沟下游河道等5处黑臭水体治理工程勘察设计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项目实施消除4处国家级监管、1处省级监管农村黑臭水体，改善人居环境；完成普化村、洩湖村2个行政村村庄污水治理。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采购包1（蓝田县普化村任家沟下游河道等5处黑臭水体治理工程勘察设计）：属于专门面向中小企业采购。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1、法定代表人授权书/法定代表人身份证明：法定代表人授权书（附法定代表人、被授权代表身份证复印件）（法定代表人直接参加磋商，须提供法定代表人身份证明）；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①勘察资质要求：供应商具备【工程勘察综合资质】，或【岩土工程乙级】及以上，或【岩土工程勘察丙级】及以上资质；②设计资质要求：供应商具备【工程设计综合资质】，或【市政行业（燃气、轨道交通除外）乙级】及以上，或【工程设计市政行业乙级】及以上；或【市政行业（排水工程）专业丙级】及以上，或【环境工程（水污染防治工程）专项乙级】及以上资质；</w:t>
      </w:r>
    </w:p>
    <w:p>
      <w:pPr>
        <w:pStyle w:val="null3"/>
      </w:pPr>
      <w:r>
        <w:rPr>
          <w:rFonts w:ascii="仿宋_GB2312" w:hAnsi="仿宋_GB2312" w:cs="仿宋_GB2312" w:eastAsia="仿宋_GB2312"/>
        </w:rPr>
        <w:t>4、项目负责人：拟派项目负责人：具备市政相关专业【高级工程师】及以上职称，或【注册土木工程师（岩土）】，或【注册公用设备工程师（给水排水专业）】； ①拟派勘察负责人：具备【注册土木工程师（岩土）】； ②拟派设计负责人：具备市政相关专业【高级工程师】及以上职称，或【注册公用设备工程师（给水排水专业）】； 注：拟派项目负责人与设计负责人或勘察负责人可为同一人，但须同时满足其资格要求</w:t>
      </w:r>
    </w:p>
    <w:p>
      <w:pPr>
        <w:pStyle w:val="null3"/>
      </w:pPr>
      <w:r>
        <w:rPr>
          <w:rFonts w:ascii="仿宋_GB2312" w:hAnsi="仿宋_GB2312" w:cs="仿宋_GB2312" w:eastAsia="仿宋_GB2312"/>
        </w:rPr>
        <w:t>5、联合体：本项目接受联合体参与磋商，组成联合体家数不超过两家。若联合体参与磋商时须明确牵头单位，联合体应满足资格要求中规定的相应资质。以联合体形式参加本项目磋商的，联合体各方不得再单独参加或者与其他供应商另外组成联合体参加同一项目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西安市蓝田县蓝水路中段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029-82829599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采购包1：1,001,100.00元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西安市蓝田县生态环境局</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项目实施消除4处国家级监管、1处省级监管农村黑臭水体，改善人居环境；完成普化村、洩湖村2个行政村村庄污水治理。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1,001,100.00</w:t>
      </w:r>
    </w:p>
    <w:p>
      <w:pPr>
        <w:pStyle w:val="null3"/>
      </w:pPr>
      <w:r>
        <w:rPr>
          <w:rFonts w:ascii="仿宋_GB2312" w:hAnsi="仿宋_GB2312" w:cs="仿宋_GB2312" w:eastAsia="仿宋_GB2312"/>
        </w:rPr>
        <w:t>采购包最高限价（元）: 1,001,100.00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蓝田县普化村任家沟下游河道等5处黑臭水体治理工程勘察设计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1,001,100.00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标的名称：蓝田县普化村任家沟下游河道等5处黑臭水体治理工程勘察设计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一、项目概况及招标范围</w:t>
            </w:r>
          </w:p>
          <w:p>
            <w:pPr>
              <w:pStyle w:val="null3"/>
            </w:pPr>
            <w:r>
              <w:rPr>
                <w:rFonts w:ascii="仿宋_GB2312" w:hAnsi="仿宋_GB2312" w:cs="仿宋_GB2312" w:eastAsia="仿宋_GB2312"/>
              </w:rPr>
              <w:t>（1）项目概况:项目实施消除4处国家级监管、1处省级监管农村黑臭水体，改善人居环境；完成普化村、洩湖村2个行政村村庄污水治理。</w:t>
            </w:r>
          </w:p>
          <w:p>
            <w:pPr>
              <w:pStyle w:val="null3"/>
            </w:pPr>
            <w:r>
              <w:rPr>
                <w:rFonts w:ascii="仿宋_GB2312" w:hAnsi="仿宋_GB2312" w:cs="仿宋_GB2312" w:eastAsia="仿宋_GB2312"/>
              </w:rPr>
              <w:t>（2）招标范围：本次招标为项目勘察、初步设计、施工图设计及技术支持与现场服务等。</w:t>
            </w:r>
          </w:p>
          <w:p>
            <w:pPr>
              <w:pStyle w:val="null3"/>
            </w:pPr>
            <w:r>
              <w:rPr>
                <w:rFonts w:ascii="仿宋_GB2312" w:hAnsi="仿宋_GB2312" w:cs="仿宋_GB2312" w:eastAsia="仿宋_GB2312"/>
              </w:rPr>
              <w:t>二、建设内容</w:t>
            </w:r>
          </w:p>
          <w:p>
            <w:pPr>
              <w:pStyle w:val="null3"/>
            </w:pPr>
            <w:r>
              <w:rPr>
                <w:rFonts w:ascii="仿宋_GB2312" w:hAnsi="仿宋_GB2312" w:cs="仿宋_GB2312" w:eastAsia="仿宋_GB2312"/>
              </w:rPr>
              <w:t>（1）项目实施消除4处国家级监管、1处省级监管农村黑臭水体，改善人居环境，消除黑臭水域面积8480平方米；完成普化村、洩湖村2个行政村村庄污水治理，建设污水主管网数量20550米及配套接户管道和污水井等，解决2个行政村庄污水乱倒乱排、直排河道的现象，改善当地及下游生环态境。</w:t>
            </w:r>
          </w:p>
          <w:p>
            <w:pPr>
              <w:pStyle w:val="null3"/>
            </w:pPr>
            <w:r>
              <w:rPr>
                <w:rFonts w:ascii="仿宋_GB2312" w:hAnsi="仿宋_GB2312" w:cs="仿宋_GB2312" w:eastAsia="仿宋_GB2312"/>
              </w:rPr>
              <w:t>（2）本项目为蓝田县普化村任家沟下游河道等5处黑臭水体治理工程，新建DN200、DN300污水管道20550m，DN100、DN150接户管道27810m，φ700、φ1000塑料污水检查井860座，塑料接户格栅井1545座，混凝土路面破除修复33156m2，垃圾清运约334m3，底泥清运约810m3，污水清运约28m3，截流井和截流管清理1项。</w:t>
            </w:r>
          </w:p>
          <w:p>
            <w:pPr>
              <w:pStyle w:val="null3"/>
            </w:pPr>
            <w:r>
              <w:rPr>
                <w:rFonts w:ascii="仿宋_GB2312" w:hAnsi="仿宋_GB2312" w:cs="仿宋_GB2312" w:eastAsia="仿宋_GB2312"/>
              </w:rPr>
              <w:t>三、勘察及设计采购内容：</w:t>
            </w:r>
          </w:p>
          <w:p>
            <w:pPr>
              <w:pStyle w:val="null3"/>
            </w:pPr>
            <w:r>
              <w:rPr>
                <w:rFonts w:ascii="仿宋_GB2312" w:hAnsi="仿宋_GB2312" w:cs="仿宋_GB2312" w:eastAsia="仿宋_GB2312"/>
              </w:rPr>
              <w:t>（1）对污水管道线路进行测绘及地质勘察；</w:t>
            </w:r>
          </w:p>
          <w:p>
            <w:pPr>
              <w:pStyle w:val="null3"/>
            </w:pPr>
            <w:r>
              <w:rPr>
                <w:rFonts w:ascii="仿宋_GB2312" w:hAnsi="仿宋_GB2312" w:cs="仿宋_GB2312" w:eastAsia="仿宋_GB2312"/>
              </w:rPr>
              <w:t>（2）提交测绘成果及勘察报告（详勘，电子版及纸质版）；</w:t>
            </w:r>
          </w:p>
          <w:p>
            <w:pPr>
              <w:pStyle w:val="null3"/>
            </w:pPr>
            <w:r>
              <w:rPr>
                <w:rFonts w:ascii="仿宋_GB2312" w:hAnsi="仿宋_GB2312" w:cs="仿宋_GB2312" w:eastAsia="仿宋_GB2312"/>
              </w:rPr>
              <w:t>（3）黑臭水体治理工程、污水管道工程初步设计、施工图设计。</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（1）勘察成果及设计成果符合国家及地方相关规范标准要求；</w:t>
            </w:r>
          </w:p>
          <w:p>
            <w:pPr>
              <w:pStyle w:val="null3"/>
            </w:pPr>
            <w:r>
              <w:rPr>
                <w:rFonts w:ascii="仿宋_GB2312" w:hAnsi="仿宋_GB2312" w:cs="仿宋_GB2312" w:eastAsia="仿宋_GB2312"/>
              </w:rPr>
              <w:t>（2）负责对施工单位进行技术交底；</w:t>
            </w:r>
          </w:p>
          <w:p>
            <w:pPr>
              <w:pStyle w:val="null3"/>
            </w:pPr>
            <w:r>
              <w:rPr>
                <w:rFonts w:ascii="仿宋_GB2312" w:hAnsi="仿宋_GB2312" w:cs="仿宋_GB2312" w:eastAsia="仿宋_GB2312"/>
              </w:rPr>
              <w:t>（3）配合采购人进行项目验收等工作。</w:t>
            </w:r>
          </w:p>
          <w:p>
            <w:pPr>
              <w:pStyle w:val="null3"/>
            </w:pPr>
            <w:r>
              <w:rPr>
                <w:rFonts w:ascii="仿宋_GB2312" w:hAnsi="仿宋_GB2312" w:cs="仿宋_GB2312" w:eastAsia="仿宋_GB2312"/>
              </w:rPr>
              <w:t>四、服务质量：达到国家、省市、行业规范要求标准。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勘察及设计周期：45个日历天，其中项目勘察周期：15日历天，在服务期限内完成本项目全部勘察设计工作并保证施工图设计文件通过相关部门审查。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完成初步设计审批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完成施工图设计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工程竣工验收合格，同时移交有关资料后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成果费、管理费、社保费、税金等其他一切相关费用。任何有选择的报价将不予接受，否则按无效磋商处理。 （2）项目属性：服务。 （3）本项目所属行业为：其他未列明行业,根据《工业和信息化部 国家统计局国家发展和改革委员会 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（6）若为授权代表参加磋商，磋商响应文件中需提供授权代表在本单位的社保证明材料。 （7）若为联合体参与磋商，响应文件均由联合体牵头单位签字、盖章。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法定代表人授权书（附法定代表人、被授权代表身份证复印件）（法定代表人直接参加磋商，须提供法定代表人身份证明）；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①勘察资质要求：供应商具备【工程勘察综合资质】，或【岩土工程乙级】及以上，或【岩土工程勘察丙级】及以上资质；②设计资质要求：供应商具备【工程设计综合资质】，或【市政行业（燃气、轨道交通除外）乙级】及以上，或【工程设计市政行业乙级】及以上；或【市政行业（排水工程）专业丙级】及以上，或【环境工程（水污染防治工程）专项乙级】及以上资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拟派项目负责人：具备市政相关专业【高级工程师】及以上职称，或【注册土木工程师（岩土）】，或【注册公用设备工程师（给水排水专业）】； ①拟派勘察负责人：具备【注册土木工程师（岩土）】； ②拟派设计负责人：具备市政相关专业【高级工程师】及以上职称，或【注册公用设备工程师（给水排水专业）】； 注：拟派项目负责人与设计负责人或勘察负责人可为同一人，但须同时满足其资格要求</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参与磋商，组成联合体家数不超过两家。若联合体参与磋商时须明确牵头单位，联合体应满足资格要求中规定的相应资质。以联合体形式参加本项目磋商的，联合体各方不得再单独参加或者与其他供应商另外组成联合体参加同一项目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针对本项目设计目标、规模、内容理解透彻，能对采购人的需求提供详细的整体设计方案,理念新颖、思路清晰、服务方案完整、可操作性强、细节考虑到位得[10-15]分； 服务方案基本完整，有相对的可操作性，描述良好得[5-10)分； 描述符合磋商文件要求，内容一般得[0-5)分。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保障措施内容完整、质量控制体系完善、合理，实施性强得[7-10]分； 保障措施内容较完善、质量控制体系较合理，具有一定的实施性得[4-7)分； 保障措施简单、质量控制体系欠合理，可实施性不足或方案欠缺得[0-4)分。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施工过程中的配合措施</w:t>
            </w:r>
          </w:p>
        </w:tc>
        <w:tc>
          <w:tcPr>
            <w:tcW w:type="dxa" w:w="2492"/>
          </w:tcPr>
          <w:p>
            <w:pPr>
              <w:pStyle w:val="null3"/>
            </w:pPr>
            <w:r>
              <w:rPr>
                <w:rFonts w:ascii="仿宋_GB2312" w:hAnsi="仿宋_GB2312" w:cs="仿宋_GB2312" w:eastAsia="仿宋_GB2312"/>
              </w:rPr>
              <w:t>施工过程中的配合措施，方案完整、合理性强、可操作性强得[7-10]分。 方案基本完整、合理性良好、可操作性良好得[4-7)分； 方案欠缺、合理性一般、可操作性一般得[0-4)分。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提出规划保障的合理化建议，促进项目有效开展和执行。 合理化建议内容严谨，科学合理得[3-5]分； 合理化建议内容一般，基本可行得[2-3)分； 合理化建议无实质内容[0-2)分。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对项目实施过程中的重点、难点分析及解决方案，供应商根据本项目的实际情况，提出有针对性的关键点分析及解决方案。 方案详细完整、实施性强、有具体的控制策略、实施步骤清晰、内容科学合理得[7-10]分； 方案较全面、实施性较强、有控制策略、实施步骤较清晰、内容较科学合理得[4-7)分； 方案不全面，实施性一般得[0-4)分。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进度安排及成果交付计划</w:t>
            </w:r>
          </w:p>
        </w:tc>
        <w:tc>
          <w:tcPr>
            <w:tcW w:type="dxa" w:w="2492"/>
          </w:tcPr>
          <w:p>
            <w:pPr>
              <w:pStyle w:val="null3"/>
            </w:pPr>
            <w:r>
              <w:rPr>
                <w:rFonts w:ascii="仿宋_GB2312" w:hAnsi="仿宋_GB2312" w:cs="仿宋_GB2312" w:eastAsia="仿宋_GB2312"/>
              </w:rPr>
              <w:t>供应商针对本项目招标内容有明确的进度安排，合理的成果交付时限且进度安排科学合理、思路清晰、措施完整、计划编制合理，可实施性强得[7-10]分； 思路较清晰、措施较完整、计划编制较合理，可实施性一般得[4-7)分； 思路模糊、措施不完整、计划编制基本合理，可实施性较差得[0-4)分。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技术团队配备</w:t>
            </w:r>
          </w:p>
        </w:tc>
        <w:tc>
          <w:tcPr>
            <w:tcW w:type="dxa" w:w="2492"/>
          </w:tcPr>
          <w:p>
            <w:pPr>
              <w:pStyle w:val="null3"/>
            </w:pPr>
            <w:r>
              <w:rPr>
                <w:rFonts w:ascii="仿宋_GB2312" w:hAnsi="仿宋_GB2312" w:cs="仿宋_GB2312" w:eastAsia="仿宋_GB2312"/>
              </w:rPr>
              <w:t>提供针对本项目的技术团队，配备充足的专业水平高且有相关专业特长的技术人员，各岗位人员配置及分工合理、岗位职责明确。 人员配备充足，且专业配置合理全面，能全面高效地完成 本项目得[10-15]分； 人员配备及专业配置合理，满足本项目基本工作需要得[5-10)分； 人员配备及专业配置不足，无法满足本项目基本工作需要得[0-5)分； （提供拟投入人员职称证书复印件或职业资格证书复印件加盖供应商公章，未提供不得分）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对完全承诺磋商文件和合同条款的要求，对交付时间内质量、人员到位情况、后期服务的响应时间及配合程度等做出实质性承诺（内容应当包含不能完全履行承诺时愿意接受相关处罚的相关承诺）。 承诺内容可操作性强、细节描述详细、完整优越得[3-5]分； 有相对的操作性、承诺内容良好得[2-3)分； 描述内容一般的得[0-2)分。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根据各供应商提供的2022年1月1日至今同类项目业绩合同，时间以合同签订的日期为准，每一个有效业绩得2分。满分10分。 注：业绩证明资料以合同或中标（成交）通知书为准。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2.有效最低报价为基准价得10分。 3.按（有效最低报价/有效磋商报价）×10的公式计算其得分。 4.磋商报价不完整的，不进入评标基准价的计算，本项得0分。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