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CC848">
      <w:pPr>
        <w:adjustRightInd w:val="0"/>
        <w:snapToGrid w:val="0"/>
        <w:spacing w:line="440" w:lineRule="exact"/>
        <w:jc w:val="center"/>
        <w:outlineLvl w:val="0"/>
        <w:rPr>
          <w:rFonts w:hint="eastAsia" w:ascii="仿宋" w:hAnsi="仿宋" w:eastAsia="仿宋" w:cs="仿宋"/>
          <w:b/>
          <w:color w:val="auto"/>
          <w:sz w:val="24"/>
          <w:szCs w:val="24"/>
          <w:highlight w:val="none"/>
          <w:lang w:eastAsia="zh-CN"/>
        </w:rPr>
      </w:pPr>
      <w:r>
        <w:rPr>
          <w:rFonts w:hint="eastAsia" w:ascii="仿宋" w:hAnsi="仿宋" w:eastAsia="仿宋" w:cs="仿宋"/>
          <w:b/>
          <w:bCs/>
          <w:color w:val="auto"/>
          <w:sz w:val="24"/>
          <w:szCs w:val="24"/>
          <w:highlight w:val="none"/>
          <w:lang w:eastAsia="zh-CN"/>
        </w:rPr>
        <w:t>合同草案条款</w:t>
      </w:r>
    </w:p>
    <w:p w14:paraId="4768BAB6">
      <w:pPr>
        <w:snapToGrid w:val="0"/>
        <w:spacing w:line="440" w:lineRule="exact"/>
        <w:rPr>
          <w:rFonts w:hint="eastAsia" w:ascii="仿宋" w:hAnsi="仿宋" w:eastAsia="仿宋" w:cs="仿宋"/>
          <w:color w:val="auto"/>
          <w:sz w:val="20"/>
          <w:szCs w:val="20"/>
          <w:highlight w:val="none"/>
        </w:rPr>
      </w:pPr>
    </w:p>
    <w:p w14:paraId="56BC734E">
      <w:pPr>
        <w:keepNext w:val="0"/>
        <w:keepLines w:val="0"/>
        <w:pageBreakBefore w:val="0"/>
        <w:widowControl w:val="0"/>
        <w:kinsoku/>
        <w:wordWrap/>
        <w:overflowPunct/>
        <w:topLinePunct w:val="0"/>
        <w:autoSpaceDE/>
        <w:autoSpaceDN/>
        <w:bidi w:val="0"/>
        <w:adjustRightInd/>
        <w:snapToGrid w:val="0"/>
        <w:spacing w:line="520" w:lineRule="exact"/>
        <w:ind w:firstLine="400" w:firstLineChars="200"/>
        <w:textAlignment w:val="auto"/>
        <w:rPr>
          <w:rFonts w:hint="eastAsia" w:ascii="仿宋" w:hAnsi="仿宋" w:eastAsia="仿宋" w:cs="仿宋"/>
          <w:snapToGrid w:val="0"/>
          <w:color w:val="auto"/>
          <w:kern w:val="0"/>
          <w:sz w:val="20"/>
          <w:szCs w:val="20"/>
          <w:highlight w:val="none"/>
        </w:rPr>
      </w:pPr>
      <w:r>
        <w:rPr>
          <w:rFonts w:hint="eastAsia" w:ascii="仿宋" w:hAnsi="仿宋" w:eastAsia="仿宋" w:cs="仿宋"/>
          <w:snapToGrid w:val="0"/>
          <w:color w:val="auto"/>
          <w:kern w:val="0"/>
          <w:sz w:val="20"/>
          <w:szCs w:val="20"/>
          <w:highlight w:val="none"/>
        </w:rPr>
        <w:t>“</w:t>
      </w:r>
      <w:r>
        <w:rPr>
          <w:rFonts w:hint="eastAsia" w:ascii="仿宋" w:hAnsi="仿宋" w:eastAsia="仿宋" w:cs="仿宋"/>
          <w:snapToGrid w:val="0"/>
          <w:color w:val="auto"/>
          <w:kern w:val="0"/>
          <w:sz w:val="20"/>
          <w:szCs w:val="20"/>
          <w:highlight w:val="none"/>
          <w:u w:val="single"/>
          <w:lang w:val="en-US" w:eastAsia="zh-CN"/>
        </w:rPr>
        <w:t xml:space="preserve">     项目名称     </w:t>
      </w:r>
      <w:r>
        <w:rPr>
          <w:rFonts w:hint="eastAsia" w:ascii="仿宋" w:hAnsi="仿宋" w:eastAsia="仿宋" w:cs="仿宋"/>
          <w:snapToGrid w:val="0"/>
          <w:color w:val="auto"/>
          <w:kern w:val="0"/>
          <w:sz w:val="20"/>
          <w:szCs w:val="20"/>
          <w:highlight w:val="none"/>
        </w:rPr>
        <w:t>”（项目编号：</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w:t>
      </w:r>
      <w:r>
        <w:rPr>
          <w:rFonts w:hint="eastAsia" w:ascii="仿宋" w:hAnsi="仿宋" w:eastAsia="仿宋" w:cs="仿宋"/>
          <w:snapToGrid w:val="0"/>
          <w:color w:val="auto"/>
          <w:kern w:val="0"/>
          <w:sz w:val="20"/>
          <w:szCs w:val="20"/>
          <w:highlight w:val="none"/>
        </w:rPr>
        <w:t>,由陕西教育招标有限责任公司组织</w:t>
      </w:r>
      <w:r>
        <w:rPr>
          <w:rFonts w:hint="eastAsia" w:ascii="仿宋" w:hAnsi="仿宋" w:eastAsia="仿宋" w:cs="仿宋"/>
          <w:snapToGrid w:val="0"/>
          <w:color w:val="auto"/>
          <w:kern w:val="0"/>
          <w:sz w:val="20"/>
          <w:szCs w:val="20"/>
          <w:highlight w:val="none"/>
          <w:lang w:val="en-US" w:eastAsia="zh-CN"/>
        </w:rPr>
        <w:t>竞争性谈判</w:t>
      </w:r>
      <w:r>
        <w:rPr>
          <w:rFonts w:hint="eastAsia" w:ascii="仿宋" w:hAnsi="仿宋" w:eastAsia="仿宋" w:cs="仿宋"/>
          <w:snapToGrid w:val="0"/>
          <w:color w:val="auto"/>
          <w:kern w:val="0"/>
          <w:sz w:val="20"/>
          <w:szCs w:val="20"/>
          <w:highlight w:val="none"/>
        </w:rPr>
        <w:t>采购,</w:t>
      </w:r>
      <w:r>
        <w:rPr>
          <w:rFonts w:hint="eastAsia" w:ascii="仿宋" w:hAnsi="仿宋" w:eastAsia="仿宋" w:cs="仿宋"/>
          <w:snapToGrid w:val="0"/>
          <w:color w:val="auto"/>
          <w:kern w:val="0"/>
          <w:sz w:val="20"/>
          <w:szCs w:val="20"/>
          <w:highlight w:val="none"/>
          <w:u w:val="single"/>
        </w:rPr>
        <w:t xml:space="preserve">   （采购人）</w:t>
      </w:r>
      <w:r>
        <w:rPr>
          <w:rFonts w:hint="eastAsia" w:ascii="仿宋" w:hAnsi="仿宋" w:eastAsia="仿宋" w:cs="仿宋"/>
          <w:color w:val="auto"/>
          <w:sz w:val="20"/>
          <w:szCs w:val="20"/>
          <w:highlight w:val="none"/>
        </w:rPr>
        <w:t>(以下简称“买方”)</w:t>
      </w:r>
      <w:r>
        <w:rPr>
          <w:rFonts w:hint="eastAsia" w:ascii="仿宋" w:hAnsi="仿宋" w:eastAsia="仿宋" w:cs="仿宋"/>
          <w:snapToGrid w:val="0"/>
          <w:color w:val="auto"/>
          <w:kern w:val="0"/>
          <w:sz w:val="20"/>
          <w:szCs w:val="20"/>
          <w:highlight w:val="none"/>
        </w:rPr>
        <w:t>确定</w:t>
      </w:r>
      <w:r>
        <w:rPr>
          <w:rFonts w:hint="eastAsia" w:ascii="仿宋" w:hAnsi="仿宋" w:eastAsia="仿宋" w:cs="仿宋"/>
          <w:snapToGrid w:val="0"/>
          <w:color w:val="auto"/>
          <w:kern w:val="0"/>
          <w:sz w:val="20"/>
          <w:szCs w:val="20"/>
          <w:highlight w:val="none"/>
          <w:u w:val="single"/>
          <w:lang w:val="en-US" w:eastAsia="zh-CN"/>
        </w:rPr>
        <w:t>成交</w:t>
      </w:r>
      <w:r>
        <w:rPr>
          <w:rFonts w:hint="eastAsia" w:ascii="仿宋" w:hAnsi="仿宋" w:eastAsia="仿宋" w:cs="仿宋"/>
          <w:snapToGrid w:val="0"/>
          <w:color w:val="auto"/>
          <w:kern w:val="0"/>
          <w:sz w:val="20"/>
          <w:szCs w:val="20"/>
          <w:highlight w:val="none"/>
          <w:u w:val="single"/>
        </w:rPr>
        <w:t>单位名称</w:t>
      </w:r>
      <w:r>
        <w:rPr>
          <w:rFonts w:hint="eastAsia" w:ascii="仿宋" w:hAnsi="仿宋" w:eastAsia="仿宋" w:cs="仿宋"/>
          <w:snapToGrid w:val="0"/>
          <w:color w:val="auto"/>
          <w:kern w:val="0"/>
          <w:sz w:val="20"/>
          <w:szCs w:val="20"/>
          <w:highlight w:val="none"/>
        </w:rPr>
        <w:t>（以下简称“卖方”）</w:t>
      </w:r>
      <w:r>
        <w:rPr>
          <w:rFonts w:hint="eastAsia" w:ascii="仿宋" w:hAnsi="仿宋" w:eastAsia="仿宋" w:cs="仿宋"/>
          <w:color w:val="auto"/>
          <w:kern w:val="0"/>
          <w:sz w:val="20"/>
          <w:szCs w:val="20"/>
          <w:highlight w:val="none"/>
        </w:rPr>
        <w:t>为</w:t>
      </w:r>
      <w:r>
        <w:rPr>
          <w:rFonts w:hint="eastAsia" w:ascii="仿宋" w:hAnsi="仿宋" w:eastAsia="仿宋" w:cs="仿宋"/>
          <w:color w:val="auto"/>
          <w:kern w:val="0"/>
          <w:sz w:val="20"/>
          <w:szCs w:val="20"/>
          <w:highlight w:val="none"/>
          <w:lang w:val="en-US" w:eastAsia="zh-CN"/>
        </w:rPr>
        <w:t>成交</w:t>
      </w:r>
      <w:r>
        <w:rPr>
          <w:rFonts w:hint="eastAsia" w:ascii="仿宋" w:hAnsi="仿宋" w:eastAsia="仿宋" w:cs="仿宋"/>
          <w:color w:val="auto"/>
          <w:kern w:val="0"/>
          <w:sz w:val="20"/>
          <w:szCs w:val="20"/>
          <w:highlight w:val="none"/>
        </w:rPr>
        <w:t>单位。</w:t>
      </w:r>
    </w:p>
    <w:p w14:paraId="07C3719A">
      <w:pPr>
        <w:keepNext w:val="0"/>
        <w:keepLines w:val="0"/>
        <w:pageBreakBefore w:val="0"/>
        <w:widowControl w:val="0"/>
        <w:kinsoku/>
        <w:wordWrap/>
        <w:overflowPunct/>
        <w:topLinePunct w:val="0"/>
        <w:autoSpaceDE/>
        <w:autoSpaceDN/>
        <w:bidi w:val="0"/>
        <w:adjustRightInd/>
        <w:snapToGrid w:val="0"/>
        <w:spacing w:line="520" w:lineRule="exact"/>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依据《中华人民共和国民法典》和《中华人民共和国政府采购法》，经双方协商，于</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b/>
          <w:color w:val="auto"/>
          <w:kern w:val="0"/>
          <w:sz w:val="20"/>
          <w:szCs w:val="20"/>
          <w:highlight w:val="none"/>
        </w:rPr>
        <w:t>年</w:t>
      </w:r>
      <w:r>
        <w:rPr>
          <w:rFonts w:hint="eastAsia" w:ascii="仿宋" w:hAnsi="仿宋" w:eastAsia="仿宋" w:cs="仿宋"/>
          <w:b/>
          <w:color w:val="auto"/>
          <w:kern w:val="0"/>
          <w:sz w:val="20"/>
          <w:szCs w:val="20"/>
          <w:highlight w:val="none"/>
          <w:u w:val="single"/>
        </w:rPr>
        <w:t xml:space="preserve">   </w:t>
      </w:r>
      <w:r>
        <w:rPr>
          <w:rFonts w:hint="eastAsia" w:ascii="仿宋" w:hAnsi="仿宋" w:eastAsia="仿宋" w:cs="仿宋"/>
          <w:b/>
          <w:color w:val="auto"/>
          <w:kern w:val="0"/>
          <w:sz w:val="20"/>
          <w:szCs w:val="20"/>
          <w:highlight w:val="none"/>
        </w:rPr>
        <w:t>月</w:t>
      </w:r>
      <w:r>
        <w:rPr>
          <w:rFonts w:hint="eastAsia" w:ascii="仿宋" w:hAnsi="仿宋" w:eastAsia="仿宋" w:cs="仿宋"/>
          <w:b/>
          <w:color w:val="auto"/>
          <w:kern w:val="0"/>
          <w:sz w:val="20"/>
          <w:szCs w:val="20"/>
          <w:highlight w:val="none"/>
          <w:u w:val="single"/>
        </w:rPr>
        <w:t xml:space="preserve">   </w:t>
      </w:r>
      <w:r>
        <w:rPr>
          <w:rFonts w:hint="eastAsia" w:ascii="仿宋" w:hAnsi="仿宋" w:eastAsia="仿宋" w:cs="仿宋"/>
          <w:b/>
          <w:color w:val="auto"/>
          <w:kern w:val="0"/>
          <w:sz w:val="20"/>
          <w:szCs w:val="20"/>
          <w:highlight w:val="none"/>
        </w:rPr>
        <w:t>日</w:t>
      </w:r>
      <w:r>
        <w:rPr>
          <w:rFonts w:hint="eastAsia" w:ascii="仿宋" w:hAnsi="仿宋" w:eastAsia="仿宋" w:cs="仿宋"/>
          <w:color w:val="auto"/>
          <w:kern w:val="0"/>
          <w:sz w:val="20"/>
          <w:szCs w:val="20"/>
          <w:highlight w:val="none"/>
        </w:rPr>
        <w:t>按下述条款和条件签署本合同。</w:t>
      </w:r>
    </w:p>
    <w:p w14:paraId="28776554">
      <w:pPr>
        <w:pStyle w:val="4"/>
        <w:keepNext w:val="0"/>
        <w:keepLines w:val="0"/>
        <w:pageBreakBefore w:val="0"/>
        <w:widowControl w:val="0"/>
        <w:kinsoku/>
        <w:wordWrap/>
        <w:overflowPunct/>
        <w:topLinePunct w:val="0"/>
        <w:autoSpaceDE/>
        <w:autoSpaceDN/>
        <w:bidi w:val="0"/>
        <w:adjustRightInd/>
        <w:spacing w:line="520" w:lineRule="exact"/>
        <w:ind w:firstLine="480"/>
        <w:textAlignment w:val="auto"/>
        <w:rPr>
          <w:rFonts w:hint="eastAsia" w:ascii="仿宋" w:hAnsi="仿宋" w:eastAsia="仿宋" w:cs="仿宋"/>
          <w:color w:val="auto"/>
          <w:sz w:val="20"/>
          <w:szCs w:val="20"/>
          <w:highlight w:val="none"/>
        </w:rPr>
      </w:pPr>
      <w:r>
        <w:rPr>
          <w:rFonts w:hint="eastAsia" w:ascii="仿宋" w:hAnsi="仿宋" w:eastAsia="仿宋" w:cs="仿宋"/>
          <w:b w:val="0"/>
          <w:color w:val="auto"/>
          <w:sz w:val="20"/>
          <w:szCs w:val="20"/>
          <w:highlight w:val="none"/>
        </w:rPr>
        <w:t>买方通过</w:t>
      </w:r>
      <w:r>
        <w:rPr>
          <w:rFonts w:hint="eastAsia" w:ascii="仿宋" w:hAnsi="仿宋" w:eastAsia="仿宋" w:cs="仿宋"/>
          <w:b w:val="0"/>
          <w:color w:val="auto"/>
          <w:sz w:val="20"/>
          <w:szCs w:val="20"/>
          <w:highlight w:val="none"/>
          <w:lang w:val="en-US" w:eastAsia="zh-CN"/>
        </w:rPr>
        <w:t>竞争性谈判</w:t>
      </w:r>
      <w:r>
        <w:rPr>
          <w:rFonts w:hint="eastAsia" w:ascii="仿宋" w:hAnsi="仿宋" w:eastAsia="仿宋" w:cs="仿宋"/>
          <w:b w:val="0"/>
          <w:color w:val="auto"/>
          <w:sz w:val="20"/>
          <w:szCs w:val="20"/>
          <w:highlight w:val="none"/>
        </w:rPr>
        <w:t>方式采购</w:t>
      </w:r>
      <w:r>
        <w:rPr>
          <w:rFonts w:hint="eastAsia" w:ascii="仿宋" w:hAnsi="仿宋" w:eastAsia="仿宋" w:cs="仿宋"/>
          <w:color w:val="auto"/>
          <w:sz w:val="20"/>
          <w:szCs w:val="20"/>
          <w:highlight w:val="none"/>
        </w:rPr>
        <w:t>，</w:t>
      </w:r>
      <w:r>
        <w:rPr>
          <w:rFonts w:hint="eastAsia" w:ascii="仿宋" w:hAnsi="仿宋" w:eastAsia="仿宋" w:cs="仿宋"/>
          <w:b w:val="0"/>
          <w:color w:val="auto"/>
          <w:sz w:val="20"/>
          <w:szCs w:val="20"/>
          <w:highlight w:val="none"/>
        </w:rPr>
        <w:t>并接受了卖方以总金额</w:t>
      </w:r>
      <w:r>
        <w:rPr>
          <w:rFonts w:hint="eastAsia" w:ascii="仿宋" w:hAnsi="仿宋" w:eastAsia="仿宋" w:cs="仿宋"/>
          <w:b w:val="0"/>
          <w:color w:val="auto"/>
          <w:sz w:val="20"/>
          <w:szCs w:val="20"/>
          <w:highlight w:val="none"/>
          <w:u w:val="single"/>
        </w:rPr>
        <w:t xml:space="preserve">大写（￥   ）  </w:t>
      </w:r>
      <w:r>
        <w:rPr>
          <w:rFonts w:hint="eastAsia" w:ascii="仿宋" w:hAnsi="仿宋" w:eastAsia="仿宋" w:cs="仿宋"/>
          <w:b w:val="0"/>
          <w:color w:val="auto"/>
          <w:sz w:val="20"/>
          <w:szCs w:val="20"/>
          <w:highlight w:val="none"/>
        </w:rPr>
        <w:t>(以下简称“合同价”)提供</w:t>
      </w:r>
      <w:r>
        <w:rPr>
          <w:rFonts w:hint="eastAsia" w:ascii="仿宋" w:hAnsi="仿宋" w:eastAsia="仿宋" w:cs="仿宋"/>
          <w:b w:val="0"/>
          <w:color w:val="auto"/>
          <w:sz w:val="20"/>
          <w:szCs w:val="20"/>
          <w:highlight w:val="none"/>
          <w:lang w:val="en-US" w:eastAsia="zh-CN"/>
        </w:rPr>
        <w:t>其</w:t>
      </w:r>
      <w:r>
        <w:rPr>
          <w:rFonts w:hint="eastAsia" w:ascii="仿宋" w:hAnsi="仿宋" w:eastAsia="仿宋" w:cs="仿宋"/>
          <w:b w:val="0"/>
          <w:color w:val="auto"/>
          <w:sz w:val="20"/>
          <w:szCs w:val="20"/>
          <w:highlight w:val="none"/>
        </w:rPr>
        <w:t>货物及服务。</w:t>
      </w:r>
    </w:p>
    <w:p w14:paraId="0DB040C6">
      <w:pPr>
        <w:pStyle w:val="4"/>
        <w:keepNext w:val="0"/>
        <w:keepLines w:val="0"/>
        <w:pageBreakBefore w:val="0"/>
        <w:widowControl w:val="0"/>
        <w:kinsoku/>
        <w:wordWrap/>
        <w:overflowPunct/>
        <w:topLinePunct w:val="0"/>
        <w:autoSpaceDE/>
        <w:autoSpaceDN/>
        <w:bidi w:val="0"/>
        <w:adjustRightInd/>
        <w:spacing w:line="520" w:lineRule="exact"/>
        <w:ind w:firstLine="480"/>
        <w:textAlignment w:val="auto"/>
        <w:rPr>
          <w:rFonts w:hint="eastAsia" w:ascii="仿宋" w:hAnsi="仿宋" w:eastAsia="仿宋" w:cs="仿宋"/>
          <w:b w:val="0"/>
          <w:color w:val="auto"/>
          <w:sz w:val="20"/>
          <w:szCs w:val="20"/>
          <w:highlight w:val="none"/>
        </w:rPr>
      </w:pPr>
      <w:r>
        <w:rPr>
          <w:rFonts w:hint="eastAsia" w:ascii="仿宋" w:hAnsi="仿宋" w:eastAsia="仿宋" w:cs="仿宋"/>
          <w:b w:val="0"/>
          <w:color w:val="auto"/>
          <w:sz w:val="20"/>
          <w:szCs w:val="20"/>
          <w:highlight w:val="none"/>
        </w:rPr>
        <w:t>本合同在此声明如下：</w:t>
      </w:r>
    </w:p>
    <w:p w14:paraId="23F23B5D">
      <w:pPr>
        <w:pStyle w:val="4"/>
        <w:keepNext w:val="0"/>
        <w:keepLines w:val="0"/>
        <w:pageBreakBefore w:val="0"/>
        <w:widowControl w:val="0"/>
        <w:kinsoku/>
        <w:wordWrap/>
        <w:overflowPunct/>
        <w:topLinePunct w:val="0"/>
        <w:autoSpaceDE/>
        <w:autoSpaceDN/>
        <w:bidi w:val="0"/>
        <w:adjustRightInd/>
        <w:spacing w:line="520" w:lineRule="exact"/>
        <w:ind w:firstLine="480"/>
        <w:textAlignment w:val="auto"/>
        <w:rPr>
          <w:rFonts w:hint="eastAsia" w:ascii="仿宋" w:hAnsi="仿宋" w:eastAsia="仿宋" w:cs="仿宋"/>
          <w:b w:val="0"/>
          <w:color w:val="auto"/>
          <w:sz w:val="20"/>
          <w:szCs w:val="20"/>
          <w:highlight w:val="none"/>
        </w:rPr>
      </w:pPr>
      <w:r>
        <w:rPr>
          <w:rFonts w:hint="eastAsia" w:ascii="仿宋" w:hAnsi="仿宋" w:eastAsia="仿宋" w:cs="仿宋"/>
          <w:b w:val="0"/>
          <w:color w:val="auto"/>
          <w:sz w:val="20"/>
          <w:szCs w:val="20"/>
          <w:highlight w:val="none"/>
        </w:rPr>
        <w:t>1.本合同中的词语和术语的含义与合同条款中定义的相同。</w:t>
      </w:r>
    </w:p>
    <w:p w14:paraId="0F608D69">
      <w:pPr>
        <w:pStyle w:val="4"/>
        <w:keepNext w:val="0"/>
        <w:keepLines w:val="0"/>
        <w:pageBreakBefore w:val="0"/>
        <w:widowControl w:val="0"/>
        <w:kinsoku/>
        <w:wordWrap/>
        <w:overflowPunct/>
        <w:topLinePunct w:val="0"/>
        <w:autoSpaceDE/>
        <w:autoSpaceDN/>
        <w:bidi w:val="0"/>
        <w:adjustRightInd/>
        <w:spacing w:line="520" w:lineRule="exact"/>
        <w:ind w:firstLine="480"/>
        <w:textAlignment w:val="auto"/>
        <w:rPr>
          <w:rFonts w:hint="eastAsia" w:ascii="仿宋" w:hAnsi="仿宋" w:eastAsia="仿宋" w:cs="仿宋"/>
          <w:b w:val="0"/>
          <w:color w:val="auto"/>
          <w:sz w:val="20"/>
          <w:szCs w:val="20"/>
          <w:highlight w:val="none"/>
        </w:rPr>
      </w:pPr>
      <w:r>
        <w:rPr>
          <w:rFonts w:hint="eastAsia" w:ascii="仿宋" w:hAnsi="仿宋" w:eastAsia="仿宋" w:cs="仿宋"/>
          <w:b w:val="0"/>
          <w:color w:val="auto"/>
          <w:sz w:val="20"/>
          <w:szCs w:val="20"/>
          <w:highlight w:val="none"/>
        </w:rPr>
        <w:t>2.下述文件是本合同的一部分，并与本合同一起阅读和解释：</w:t>
      </w:r>
    </w:p>
    <w:p w14:paraId="29966EC2">
      <w:pPr>
        <w:pStyle w:val="4"/>
        <w:keepNext w:val="0"/>
        <w:keepLines w:val="0"/>
        <w:pageBreakBefore w:val="0"/>
        <w:widowControl w:val="0"/>
        <w:kinsoku/>
        <w:wordWrap/>
        <w:overflowPunct/>
        <w:topLinePunct w:val="0"/>
        <w:autoSpaceDE/>
        <w:autoSpaceDN/>
        <w:bidi w:val="0"/>
        <w:adjustRightInd/>
        <w:spacing w:line="520" w:lineRule="exact"/>
        <w:ind w:firstLine="700" w:firstLineChars="350"/>
        <w:textAlignment w:val="auto"/>
        <w:rPr>
          <w:rFonts w:hint="eastAsia" w:ascii="仿宋" w:hAnsi="仿宋" w:eastAsia="仿宋" w:cs="仿宋"/>
          <w:b w:val="0"/>
          <w:color w:val="auto"/>
          <w:sz w:val="20"/>
          <w:szCs w:val="20"/>
          <w:highlight w:val="none"/>
        </w:rPr>
      </w:pPr>
      <w:r>
        <w:rPr>
          <w:rFonts w:hint="eastAsia" w:ascii="仿宋" w:hAnsi="仿宋" w:eastAsia="仿宋" w:cs="仿宋"/>
          <w:b w:val="0"/>
          <w:color w:val="auto"/>
          <w:sz w:val="20"/>
          <w:szCs w:val="20"/>
          <w:highlight w:val="none"/>
        </w:rPr>
        <w:t>⑴ 合同通用条款；</w:t>
      </w:r>
    </w:p>
    <w:p w14:paraId="035FCFB0">
      <w:pPr>
        <w:pStyle w:val="4"/>
        <w:keepNext w:val="0"/>
        <w:keepLines w:val="0"/>
        <w:pageBreakBefore w:val="0"/>
        <w:widowControl w:val="0"/>
        <w:kinsoku/>
        <w:wordWrap/>
        <w:overflowPunct/>
        <w:topLinePunct w:val="0"/>
        <w:autoSpaceDE/>
        <w:autoSpaceDN/>
        <w:bidi w:val="0"/>
        <w:adjustRightInd/>
        <w:spacing w:line="520" w:lineRule="exact"/>
        <w:ind w:firstLine="700" w:firstLineChars="350"/>
        <w:textAlignment w:val="auto"/>
        <w:rPr>
          <w:rFonts w:hint="eastAsia" w:ascii="仿宋" w:hAnsi="仿宋" w:eastAsia="仿宋" w:cs="仿宋"/>
          <w:b w:val="0"/>
          <w:color w:val="auto"/>
          <w:sz w:val="20"/>
          <w:szCs w:val="20"/>
          <w:highlight w:val="none"/>
        </w:rPr>
      </w:pPr>
      <w:r>
        <w:rPr>
          <w:rFonts w:hint="eastAsia" w:ascii="仿宋" w:hAnsi="仿宋" w:eastAsia="仿宋" w:cs="仿宋"/>
          <w:b w:val="0"/>
          <w:color w:val="auto"/>
          <w:sz w:val="20"/>
          <w:szCs w:val="20"/>
          <w:highlight w:val="none"/>
        </w:rPr>
        <w:t>⑵ 合同条款附件；</w:t>
      </w:r>
    </w:p>
    <w:p w14:paraId="12FEAF46">
      <w:pPr>
        <w:pStyle w:val="4"/>
        <w:keepNext w:val="0"/>
        <w:keepLines w:val="0"/>
        <w:pageBreakBefore w:val="0"/>
        <w:widowControl w:val="0"/>
        <w:kinsoku/>
        <w:wordWrap/>
        <w:overflowPunct/>
        <w:topLinePunct w:val="0"/>
        <w:autoSpaceDE/>
        <w:autoSpaceDN/>
        <w:bidi w:val="0"/>
        <w:adjustRightInd/>
        <w:spacing w:line="520" w:lineRule="exact"/>
        <w:ind w:firstLine="700" w:firstLineChars="350"/>
        <w:textAlignment w:val="auto"/>
        <w:rPr>
          <w:rFonts w:hint="eastAsia" w:ascii="仿宋" w:hAnsi="仿宋" w:eastAsia="仿宋" w:cs="仿宋"/>
          <w:b w:val="0"/>
          <w:color w:val="auto"/>
          <w:sz w:val="20"/>
          <w:szCs w:val="20"/>
          <w:highlight w:val="none"/>
        </w:rPr>
      </w:pPr>
      <w:r>
        <w:rPr>
          <w:rFonts w:hint="eastAsia" w:ascii="仿宋" w:hAnsi="仿宋" w:eastAsia="仿宋" w:cs="仿宋"/>
          <w:b w:val="0"/>
          <w:color w:val="auto"/>
          <w:sz w:val="20"/>
          <w:szCs w:val="20"/>
          <w:highlight w:val="none"/>
        </w:rPr>
        <w:t xml:space="preserve">⑶ </w:t>
      </w:r>
      <w:r>
        <w:rPr>
          <w:rFonts w:hint="eastAsia" w:ascii="仿宋" w:hAnsi="仿宋" w:eastAsia="仿宋" w:cs="仿宋"/>
          <w:b w:val="0"/>
          <w:color w:val="auto"/>
          <w:sz w:val="20"/>
          <w:szCs w:val="20"/>
          <w:highlight w:val="none"/>
          <w:lang w:eastAsia="zh-CN"/>
        </w:rPr>
        <w:t>成交</w:t>
      </w:r>
      <w:r>
        <w:rPr>
          <w:rFonts w:hint="eastAsia" w:ascii="仿宋" w:hAnsi="仿宋" w:eastAsia="仿宋" w:cs="仿宋"/>
          <w:b w:val="0"/>
          <w:color w:val="auto"/>
          <w:sz w:val="20"/>
          <w:szCs w:val="20"/>
          <w:highlight w:val="none"/>
        </w:rPr>
        <w:t>通知书；</w:t>
      </w:r>
    </w:p>
    <w:p w14:paraId="5DA9B4F8">
      <w:pPr>
        <w:pStyle w:val="4"/>
        <w:keepNext w:val="0"/>
        <w:keepLines w:val="0"/>
        <w:pageBreakBefore w:val="0"/>
        <w:widowControl w:val="0"/>
        <w:kinsoku/>
        <w:wordWrap/>
        <w:overflowPunct/>
        <w:topLinePunct w:val="0"/>
        <w:autoSpaceDE/>
        <w:autoSpaceDN/>
        <w:bidi w:val="0"/>
        <w:adjustRightInd/>
        <w:spacing w:line="520" w:lineRule="exact"/>
        <w:ind w:firstLine="700" w:firstLineChars="350"/>
        <w:textAlignment w:val="auto"/>
        <w:rPr>
          <w:rFonts w:hint="eastAsia" w:ascii="仿宋" w:hAnsi="仿宋" w:eastAsia="仿宋" w:cs="仿宋"/>
          <w:b w:val="0"/>
          <w:color w:val="auto"/>
          <w:sz w:val="20"/>
          <w:szCs w:val="20"/>
          <w:highlight w:val="none"/>
        </w:rPr>
      </w:pPr>
      <w:r>
        <w:rPr>
          <w:rFonts w:hint="eastAsia" w:ascii="仿宋" w:hAnsi="仿宋" w:eastAsia="仿宋" w:cs="仿宋"/>
          <w:b w:val="0"/>
          <w:color w:val="auto"/>
          <w:sz w:val="20"/>
          <w:szCs w:val="20"/>
          <w:highlight w:val="none"/>
        </w:rPr>
        <w:t>⑷ 谈判文件；</w:t>
      </w:r>
    </w:p>
    <w:p w14:paraId="2E9A55C9">
      <w:pPr>
        <w:pStyle w:val="4"/>
        <w:keepNext w:val="0"/>
        <w:keepLines w:val="0"/>
        <w:pageBreakBefore w:val="0"/>
        <w:widowControl w:val="0"/>
        <w:kinsoku/>
        <w:wordWrap/>
        <w:overflowPunct/>
        <w:topLinePunct w:val="0"/>
        <w:autoSpaceDE/>
        <w:autoSpaceDN/>
        <w:bidi w:val="0"/>
        <w:adjustRightInd/>
        <w:spacing w:line="520" w:lineRule="exact"/>
        <w:ind w:firstLine="700" w:firstLineChars="350"/>
        <w:textAlignment w:val="auto"/>
        <w:rPr>
          <w:rFonts w:hint="eastAsia" w:ascii="仿宋" w:hAnsi="仿宋" w:eastAsia="仿宋" w:cs="仿宋"/>
          <w:b w:val="0"/>
          <w:color w:val="auto"/>
          <w:sz w:val="20"/>
          <w:szCs w:val="20"/>
          <w:highlight w:val="none"/>
        </w:rPr>
      </w:pPr>
      <w:r>
        <w:rPr>
          <w:rFonts w:hint="eastAsia" w:ascii="仿宋" w:hAnsi="仿宋" w:eastAsia="仿宋" w:cs="仿宋"/>
          <w:b w:val="0"/>
          <w:color w:val="auto"/>
          <w:sz w:val="20"/>
          <w:szCs w:val="20"/>
          <w:highlight w:val="none"/>
        </w:rPr>
        <w:t>⑸ 谈判响应文件。</w:t>
      </w:r>
    </w:p>
    <w:p w14:paraId="61BAED76">
      <w:pPr>
        <w:pStyle w:val="4"/>
        <w:keepNext w:val="0"/>
        <w:keepLines w:val="0"/>
        <w:pageBreakBefore w:val="0"/>
        <w:widowControl w:val="0"/>
        <w:kinsoku/>
        <w:wordWrap/>
        <w:overflowPunct/>
        <w:topLinePunct w:val="0"/>
        <w:autoSpaceDE/>
        <w:autoSpaceDN/>
        <w:bidi w:val="0"/>
        <w:adjustRightInd/>
        <w:spacing w:line="520" w:lineRule="exact"/>
        <w:ind w:firstLine="480"/>
        <w:textAlignment w:val="auto"/>
        <w:rPr>
          <w:rFonts w:hint="eastAsia" w:ascii="仿宋" w:hAnsi="仿宋" w:eastAsia="仿宋" w:cs="仿宋"/>
          <w:b w:val="0"/>
          <w:color w:val="auto"/>
          <w:sz w:val="20"/>
          <w:szCs w:val="20"/>
          <w:highlight w:val="none"/>
        </w:rPr>
      </w:pPr>
      <w:r>
        <w:rPr>
          <w:rFonts w:hint="eastAsia" w:ascii="仿宋" w:hAnsi="仿宋" w:eastAsia="仿宋" w:cs="仿宋"/>
          <w:b w:val="0"/>
          <w:color w:val="auto"/>
          <w:sz w:val="20"/>
          <w:szCs w:val="20"/>
          <w:highlight w:val="none"/>
        </w:rPr>
        <w:t>3.考虑到买方将按照本合同向卖方支付货款，卖方在此保证全部按照合同的规定向买方提供货物和服务，并修补缺陷。</w:t>
      </w:r>
    </w:p>
    <w:p w14:paraId="51E7A5C0">
      <w:pPr>
        <w:keepNext w:val="0"/>
        <w:keepLines w:val="0"/>
        <w:pageBreakBefore w:val="0"/>
        <w:widowControl w:val="0"/>
        <w:kinsoku/>
        <w:wordWrap/>
        <w:overflowPunct/>
        <w:topLinePunct w:val="0"/>
        <w:autoSpaceDE/>
        <w:autoSpaceDN/>
        <w:bidi w:val="0"/>
        <w:adjustRightInd/>
        <w:spacing w:line="520" w:lineRule="exact"/>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4.考虑到卖方将按照本合同向买方提供货物和服务并修补缺陷，买方在此保证按照合同规定的时间和方式向卖方支付合同价或其他按合同规定应支付的资金。</w:t>
      </w:r>
    </w:p>
    <w:p w14:paraId="51F14F7C">
      <w:pPr>
        <w:keepNext w:val="0"/>
        <w:keepLines w:val="0"/>
        <w:pageBreakBefore w:val="0"/>
        <w:widowControl w:val="0"/>
        <w:kinsoku/>
        <w:wordWrap/>
        <w:overflowPunct/>
        <w:topLinePunct w:val="0"/>
        <w:autoSpaceDE/>
        <w:autoSpaceDN/>
        <w:bidi w:val="0"/>
        <w:adjustRightInd/>
        <w:snapToGrid w:val="0"/>
        <w:spacing w:after="120" w:afterLines="50" w:line="520" w:lineRule="exact"/>
        <w:ind w:firstLine="400" w:firstLineChars="200"/>
        <w:textAlignment w:val="auto"/>
        <w:rPr>
          <w:rFonts w:hint="eastAsia" w:ascii="仿宋" w:hAnsi="仿宋" w:eastAsia="仿宋" w:cs="仿宋"/>
          <w:snapToGrid w:val="0"/>
          <w:color w:val="auto"/>
          <w:kern w:val="0"/>
          <w:sz w:val="20"/>
          <w:szCs w:val="20"/>
          <w:highlight w:val="none"/>
        </w:rPr>
      </w:pPr>
      <w:r>
        <w:rPr>
          <w:rFonts w:hint="eastAsia" w:ascii="仿宋" w:hAnsi="仿宋" w:eastAsia="仿宋" w:cs="仿宋"/>
          <w:color w:val="auto"/>
          <w:kern w:val="0"/>
          <w:sz w:val="20"/>
          <w:szCs w:val="20"/>
          <w:highlight w:val="none"/>
        </w:rPr>
        <w:t>5.</w:t>
      </w:r>
      <w:r>
        <w:rPr>
          <w:rFonts w:hint="eastAsia" w:ascii="仿宋" w:hAnsi="仿宋" w:eastAsia="仿宋" w:cs="仿宋"/>
          <w:snapToGrid w:val="0"/>
          <w:color w:val="auto"/>
          <w:kern w:val="0"/>
          <w:sz w:val="20"/>
          <w:szCs w:val="20"/>
          <w:highlight w:val="none"/>
        </w:rPr>
        <w:t>本合同一式</w:t>
      </w:r>
      <w:r>
        <w:rPr>
          <w:rFonts w:hint="eastAsia" w:ascii="仿宋" w:hAnsi="仿宋" w:eastAsia="仿宋" w:cs="仿宋"/>
          <w:snapToGrid w:val="0"/>
          <w:color w:val="auto"/>
          <w:kern w:val="0"/>
          <w:sz w:val="20"/>
          <w:szCs w:val="20"/>
          <w:highlight w:val="none"/>
          <w:u w:val="single"/>
        </w:rPr>
        <w:t xml:space="preserve">   </w:t>
      </w:r>
      <w:r>
        <w:rPr>
          <w:rFonts w:hint="eastAsia" w:ascii="仿宋" w:hAnsi="仿宋" w:eastAsia="仿宋" w:cs="仿宋"/>
          <w:snapToGrid w:val="0"/>
          <w:color w:val="auto"/>
          <w:kern w:val="0"/>
          <w:sz w:val="20"/>
          <w:szCs w:val="20"/>
          <w:highlight w:val="none"/>
        </w:rPr>
        <w:t>份，其中，买方</w:t>
      </w:r>
      <w:r>
        <w:rPr>
          <w:rFonts w:hint="eastAsia" w:ascii="仿宋" w:hAnsi="仿宋" w:eastAsia="仿宋" w:cs="仿宋"/>
          <w:snapToGrid w:val="0"/>
          <w:color w:val="auto"/>
          <w:kern w:val="0"/>
          <w:sz w:val="20"/>
          <w:szCs w:val="20"/>
          <w:highlight w:val="none"/>
          <w:u w:val="single"/>
        </w:rPr>
        <w:t xml:space="preserve">   </w:t>
      </w:r>
      <w:r>
        <w:rPr>
          <w:rFonts w:hint="eastAsia" w:ascii="仿宋" w:hAnsi="仿宋" w:eastAsia="仿宋" w:cs="仿宋"/>
          <w:snapToGrid w:val="0"/>
          <w:color w:val="auto"/>
          <w:kern w:val="0"/>
          <w:sz w:val="20"/>
          <w:szCs w:val="20"/>
          <w:highlight w:val="none"/>
        </w:rPr>
        <w:t>份，卖方</w:t>
      </w:r>
      <w:r>
        <w:rPr>
          <w:rFonts w:hint="eastAsia" w:ascii="仿宋" w:hAnsi="仿宋" w:eastAsia="仿宋" w:cs="仿宋"/>
          <w:snapToGrid w:val="0"/>
          <w:color w:val="auto"/>
          <w:kern w:val="0"/>
          <w:sz w:val="20"/>
          <w:szCs w:val="20"/>
          <w:highlight w:val="none"/>
          <w:u w:val="single"/>
        </w:rPr>
        <w:t xml:space="preserve">   </w:t>
      </w:r>
      <w:r>
        <w:rPr>
          <w:rFonts w:hint="eastAsia" w:ascii="仿宋" w:hAnsi="仿宋" w:eastAsia="仿宋" w:cs="仿宋"/>
          <w:snapToGrid w:val="0"/>
          <w:color w:val="auto"/>
          <w:kern w:val="0"/>
          <w:sz w:val="20"/>
          <w:szCs w:val="20"/>
          <w:highlight w:val="none"/>
        </w:rPr>
        <w:t>份，鉴证方</w:t>
      </w:r>
      <w:r>
        <w:rPr>
          <w:rFonts w:hint="eastAsia" w:ascii="仿宋" w:hAnsi="仿宋" w:eastAsia="仿宋" w:cs="仿宋"/>
          <w:snapToGrid w:val="0"/>
          <w:color w:val="auto"/>
          <w:kern w:val="0"/>
          <w:sz w:val="20"/>
          <w:szCs w:val="20"/>
          <w:highlight w:val="none"/>
          <w:u w:val="single"/>
        </w:rPr>
        <w:t xml:space="preserve">    </w:t>
      </w:r>
      <w:r>
        <w:rPr>
          <w:rFonts w:hint="eastAsia" w:ascii="仿宋" w:hAnsi="仿宋" w:eastAsia="仿宋" w:cs="仿宋"/>
          <w:snapToGrid w:val="0"/>
          <w:color w:val="auto"/>
          <w:kern w:val="0"/>
          <w:sz w:val="20"/>
          <w:szCs w:val="20"/>
          <w:highlight w:val="none"/>
        </w:rPr>
        <w:t>份，</w:t>
      </w:r>
      <w:r>
        <w:rPr>
          <w:rFonts w:hint="eastAsia" w:ascii="仿宋" w:hAnsi="仿宋" w:eastAsia="仿宋" w:cs="仿宋"/>
          <w:color w:val="auto"/>
          <w:kern w:val="0"/>
          <w:sz w:val="20"/>
          <w:szCs w:val="20"/>
          <w:highlight w:val="none"/>
        </w:rPr>
        <w:t>监督管理部门</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份</w:t>
      </w:r>
      <w:r>
        <w:rPr>
          <w:rFonts w:hint="eastAsia" w:ascii="仿宋" w:hAnsi="仿宋" w:eastAsia="仿宋" w:cs="仿宋"/>
          <w:snapToGrid w:val="0"/>
          <w:color w:val="auto"/>
          <w:kern w:val="0"/>
          <w:sz w:val="20"/>
          <w:szCs w:val="20"/>
          <w:highlight w:val="none"/>
        </w:rPr>
        <w:t>。</w:t>
      </w:r>
    </w:p>
    <w:p w14:paraId="4A490F32">
      <w:pPr>
        <w:spacing w:line="440" w:lineRule="exact"/>
        <w:ind w:firstLine="400" w:firstLineChars="200"/>
        <w:rPr>
          <w:rFonts w:hint="eastAsia" w:ascii="仿宋" w:hAnsi="仿宋" w:eastAsia="仿宋" w:cs="仿宋"/>
          <w:color w:val="auto"/>
          <w:sz w:val="20"/>
          <w:szCs w:val="20"/>
          <w:highlight w:val="none"/>
        </w:rPr>
      </w:pPr>
    </w:p>
    <w:p w14:paraId="6F3D5EC1">
      <w:pPr>
        <w:spacing w:line="160" w:lineRule="exact"/>
        <w:rPr>
          <w:rFonts w:hint="eastAsia" w:ascii="仿宋" w:hAnsi="仿宋" w:eastAsia="仿宋" w:cs="仿宋"/>
          <w:color w:val="auto"/>
          <w:sz w:val="20"/>
          <w:szCs w:val="20"/>
          <w:highlight w:val="none"/>
        </w:rPr>
      </w:pPr>
    </w:p>
    <w:tbl>
      <w:tblPr>
        <w:tblStyle w:val="2"/>
        <w:tblW w:w="8392" w:type="dxa"/>
        <w:jc w:val="center"/>
        <w:tblLayout w:type="fixed"/>
        <w:tblCellMar>
          <w:top w:w="28" w:type="dxa"/>
          <w:left w:w="57" w:type="dxa"/>
          <w:bottom w:w="28" w:type="dxa"/>
          <w:right w:w="57" w:type="dxa"/>
        </w:tblCellMar>
      </w:tblPr>
      <w:tblGrid>
        <w:gridCol w:w="4196"/>
        <w:gridCol w:w="4196"/>
      </w:tblGrid>
      <w:tr w14:paraId="57D0BBFB">
        <w:tblPrEx>
          <w:tblCellMar>
            <w:top w:w="28" w:type="dxa"/>
            <w:left w:w="57" w:type="dxa"/>
            <w:bottom w:w="28" w:type="dxa"/>
            <w:right w:w="57" w:type="dxa"/>
          </w:tblCellMar>
        </w:tblPrEx>
        <w:trPr>
          <w:trHeight w:val="5373" w:hRule="atLeast"/>
          <w:jc w:val="center"/>
        </w:trPr>
        <w:tc>
          <w:tcPr>
            <w:tcW w:w="4196" w:type="dxa"/>
            <w:noWrap w:val="0"/>
            <w:tcMar>
              <w:top w:w="113" w:type="dxa"/>
              <w:left w:w="340" w:type="dxa"/>
              <w:bottom w:w="113" w:type="dxa"/>
              <w:right w:w="340" w:type="dxa"/>
            </w:tcMar>
            <w:vAlign w:val="top"/>
          </w:tcPr>
          <w:p w14:paraId="4A08B157">
            <w:pPr>
              <w:autoSpaceDE w:val="0"/>
              <w:autoSpaceDN w:val="0"/>
              <w:spacing w:line="440" w:lineRule="exac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买方名称：</w:t>
            </w:r>
          </w:p>
          <w:p w14:paraId="5BBC57C0">
            <w:pPr>
              <w:autoSpaceDE w:val="0"/>
              <w:autoSpaceDN w:val="0"/>
              <w:spacing w:line="440" w:lineRule="exac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买方地址：</w:t>
            </w:r>
          </w:p>
          <w:p w14:paraId="1AAA4400">
            <w:pPr>
              <w:autoSpaceDE w:val="0"/>
              <w:autoSpaceDN w:val="0"/>
              <w:spacing w:line="440" w:lineRule="exac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w:t>
            </w:r>
          </w:p>
          <w:p w14:paraId="6AA845BD">
            <w:pPr>
              <w:autoSpaceDE w:val="0"/>
              <w:autoSpaceDN w:val="0"/>
              <w:spacing w:line="440" w:lineRule="exac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传    真：</w:t>
            </w:r>
          </w:p>
          <w:p w14:paraId="53A30FEF">
            <w:pPr>
              <w:autoSpaceDE w:val="0"/>
              <w:autoSpaceDN w:val="0"/>
              <w:spacing w:line="440" w:lineRule="exac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邮    编：</w:t>
            </w:r>
          </w:p>
          <w:p w14:paraId="60D88848">
            <w:pPr>
              <w:autoSpaceDE w:val="0"/>
              <w:autoSpaceDN w:val="0"/>
              <w:spacing w:line="440" w:lineRule="exact"/>
              <w:rPr>
                <w:rFonts w:hint="eastAsia" w:ascii="仿宋" w:hAnsi="仿宋" w:eastAsia="仿宋" w:cs="仿宋"/>
                <w:color w:val="auto"/>
                <w:kern w:val="0"/>
                <w:sz w:val="20"/>
                <w:szCs w:val="20"/>
                <w:highlight w:val="none"/>
              </w:rPr>
            </w:pPr>
          </w:p>
          <w:p w14:paraId="285D44EF">
            <w:pPr>
              <w:autoSpaceDE w:val="0"/>
              <w:autoSpaceDN w:val="0"/>
              <w:spacing w:line="440" w:lineRule="exact"/>
              <w:rPr>
                <w:rFonts w:hint="eastAsia" w:ascii="仿宋" w:hAnsi="仿宋" w:eastAsia="仿宋" w:cs="仿宋"/>
                <w:color w:val="auto"/>
                <w:kern w:val="0"/>
                <w:sz w:val="20"/>
                <w:szCs w:val="20"/>
                <w:highlight w:val="none"/>
              </w:rPr>
            </w:pPr>
          </w:p>
          <w:p w14:paraId="1C1CC16C">
            <w:pPr>
              <w:autoSpaceDE w:val="0"/>
              <w:autoSpaceDN w:val="0"/>
              <w:spacing w:line="440" w:lineRule="exac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买方代表签字：</w:t>
            </w:r>
          </w:p>
          <w:p w14:paraId="77C24344">
            <w:pPr>
              <w:autoSpaceDE w:val="0"/>
              <w:autoSpaceDN w:val="0"/>
              <w:spacing w:line="440" w:lineRule="exact"/>
              <w:rPr>
                <w:rFonts w:hint="eastAsia" w:ascii="仿宋" w:hAnsi="仿宋" w:eastAsia="仿宋" w:cs="仿宋"/>
                <w:color w:val="auto"/>
                <w:kern w:val="0"/>
                <w:sz w:val="20"/>
                <w:szCs w:val="20"/>
                <w:highlight w:val="none"/>
              </w:rPr>
            </w:pPr>
          </w:p>
          <w:p w14:paraId="13ED540F">
            <w:pPr>
              <w:spacing w:line="440" w:lineRule="exact"/>
              <w:rPr>
                <w:rFonts w:hint="eastAsia" w:ascii="仿宋" w:hAnsi="仿宋" w:eastAsia="仿宋" w:cs="仿宋"/>
                <w:color w:val="auto"/>
                <w:kern w:val="0"/>
                <w:sz w:val="20"/>
                <w:szCs w:val="20"/>
                <w:highlight w:val="none"/>
              </w:rPr>
            </w:pPr>
            <w:r>
              <w:rPr>
                <w:rFonts w:hint="eastAsia" w:ascii="仿宋" w:hAnsi="仿宋" w:eastAsia="仿宋" w:cs="仿宋"/>
                <w:color w:val="auto"/>
                <w:spacing w:val="7"/>
                <w:kern w:val="0"/>
                <w:sz w:val="20"/>
                <w:szCs w:val="20"/>
                <w:highlight w:val="none"/>
              </w:rPr>
              <w:t>买 方 盖 章</w:t>
            </w:r>
            <w:r>
              <w:rPr>
                <w:rFonts w:hint="eastAsia" w:ascii="仿宋" w:hAnsi="仿宋" w:eastAsia="仿宋" w:cs="仿宋"/>
                <w:color w:val="auto"/>
                <w:kern w:val="0"/>
                <w:sz w:val="20"/>
                <w:szCs w:val="20"/>
                <w:highlight w:val="none"/>
              </w:rPr>
              <w:t>：</w:t>
            </w:r>
          </w:p>
        </w:tc>
        <w:tc>
          <w:tcPr>
            <w:tcW w:w="4196" w:type="dxa"/>
            <w:noWrap w:val="0"/>
            <w:vAlign w:val="top"/>
          </w:tcPr>
          <w:p w14:paraId="045DA851">
            <w:pPr>
              <w:autoSpaceDE w:val="0"/>
              <w:autoSpaceDN w:val="0"/>
              <w:spacing w:line="440" w:lineRule="exact"/>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卖方名称：</w:t>
            </w:r>
          </w:p>
          <w:p w14:paraId="28E58BBC">
            <w:pPr>
              <w:autoSpaceDE w:val="0"/>
              <w:autoSpaceDN w:val="0"/>
              <w:spacing w:line="440" w:lineRule="exact"/>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卖方地址：</w:t>
            </w:r>
          </w:p>
          <w:p w14:paraId="5744DFD6">
            <w:pPr>
              <w:autoSpaceDE w:val="0"/>
              <w:autoSpaceDN w:val="0"/>
              <w:spacing w:line="440" w:lineRule="exact"/>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w:t>
            </w:r>
          </w:p>
          <w:p w14:paraId="2BA72468">
            <w:pPr>
              <w:autoSpaceDE w:val="0"/>
              <w:autoSpaceDN w:val="0"/>
              <w:spacing w:line="440" w:lineRule="exact"/>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传    真：</w:t>
            </w:r>
          </w:p>
          <w:p w14:paraId="269215FD">
            <w:pPr>
              <w:autoSpaceDE w:val="0"/>
              <w:autoSpaceDN w:val="0"/>
              <w:spacing w:line="440" w:lineRule="exact"/>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邮    编：</w:t>
            </w:r>
          </w:p>
          <w:p w14:paraId="28C100CF">
            <w:pPr>
              <w:autoSpaceDE w:val="0"/>
              <w:autoSpaceDN w:val="0"/>
              <w:spacing w:line="440" w:lineRule="exact"/>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开户银行：</w:t>
            </w:r>
          </w:p>
          <w:p w14:paraId="64DB72DD">
            <w:pPr>
              <w:autoSpaceDE w:val="0"/>
              <w:autoSpaceDN w:val="0"/>
              <w:spacing w:line="440" w:lineRule="exact"/>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lang w:eastAsia="zh-CN"/>
              </w:rPr>
              <w:t>账</w:t>
            </w:r>
            <w:r>
              <w:rPr>
                <w:rFonts w:hint="eastAsia" w:ascii="仿宋" w:hAnsi="仿宋" w:eastAsia="仿宋" w:cs="仿宋"/>
                <w:color w:val="auto"/>
                <w:kern w:val="0"/>
                <w:sz w:val="20"/>
                <w:szCs w:val="20"/>
                <w:highlight w:val="none"/>
              </w:rPr>
              <w:t xml:space="preserve">    号：</w:t>
            </w:r>
          </w:p>
          <w:p w14:paraId="55E22018">
            <w:pPr>
              <w:autoSpaceDE w:val="0"/>
              <w:autoSpaceDN w:val="0"/>
              <w:spacing w:line="440" w:lineRule="exact"/>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卖方代表签字：</w:t>
            </w:r>
          </w:p>
          <w:p w14:paraId="6CDEA8A4">
            <w:pPr>
              <w:autoSpaceDE w:val="0"/>
              <w:autoSpaceDN w:val="0"/>
              <w:spacing w:line="440" w:lineRule="exact"/>
              <w:ind w:firstLine="200" w:firstLineChars="100"/>
              <w:rPr>
                <w:rFonts w:hint="eastAsia" w:ascii="仿宋" w:hAnsi="仿宋" w:eastAsia="仿宋" w:cs="仿宋"/>
                <w:color w:val="auto"/>
                <w:kern w:val="0"/>
                <w:sz w:val="20"/>
                <w:szCs w:val="20"/>
                <w:highlight w:val="none"/>
              </w:rPr>
            </w:pPr>
          </w:p>
          <w:p w14:paraId="154BD81E">
            <w:pPr>
              <w:spacing w:line="440" w:lineRule="exact"/>
              <w:ind w:firstLine="214" w:firstLineChars="100"/>
              <w:rPr>
                <w:rFonts w:hint="eastAsia" w:ascii="仿宋" w:hAnsi="仿宋" w:eastAsia="仿宋" w:cs="仿宋"/>
                <w:b/>
                <w:color w:val="auto"/>
                <w:sz w:val="20"/>
                <w:szCs w:val="20"/>
                <w:highlight w:val="none"/>
              </w:rPr>
            </w:pPr>
            <w:r>
              <w:rPr>
                <w:rFonts w:hint="eastAsia" w:ascii="仿宋" w:hAnsi="仿宋" w:eastAsia="仿宋" w:cs="仿宋"/>
                <w:color w:val="auto"/>
                <w:spacing w:val="7"/>
                <w:kern w:val="0"/>
                <w:sz w:val="20"/>
                <w:szCs w:val="20"/>
                <w:highlight w:val="none"/>
              </w:rPr>
              <w:t>卖 方 盖 章</w:t>
            </w:r>
            <w:r>
              <w:rPr>
                <w:rFonts w:hint="eastAsia" w:ascii="仿宋" w:hAnsi="仿宋" w:eastAsia="仿宋" w:cs="仿宋"/>
                <w:color w:val="auto"/>
                <w:kern w:val="0"/>
                <w:sz w:val="20"/>
                <w:szCs w:val="20"/>
                <w:highlight w:val="none"/>
              </w:rPr>
              <w:t>：</w:t>
            </w:r>
          </w:p>
        </w:tc>
      </w:tr>
    </w:tbl>
    <w:p w14:paraId="47021F53">
      <w:pPr>
        <w:spacing w:before="240" w:beforeLines="100" w:line="440" w:lineRule="exac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鉴证方名称：陕西教育招标有限责任公司（盖章）</w:t>
      </w:r>
    </w:p>
    <w:p w14:paraId="1A98E839">
      <w:pPr>
        <w:spacing w:line="440" w:lineRule="exac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鉴证方地址：西安市太白南路181号 西部电子社区A座B区401</w:t>
      </w:r>
    </w:p>
    <w:p w14:paraId="0BFC95E4">
      <w:pPr>
        <w:spacing w:line="440" w:lineRule="exac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话：029-</w:t>
      </w:r>
      <w:r>
        <w:rPr>
          <w:rFonts w:hint="eastAsia" w:ascii="仿宋" w:hAnsi="仿宋" w:eastAsia="仿宋" w:cs="仿宋"/>
          <w:color w:val="auto"/>
          <w:kern w:val="0"/>
          <w:sz w:val="20"/>
          <w:szCs w:val="20"/>
          <w:highlight w:val="none"/>
          <w:lang w:eastAsia="zh-CN"/>
        </w:rPr>
        <w:t xml:space="preserve">88224929 </w:t>
      </w:r>
      <w:r>
        <w:rPr>
          <w:rFonts w:hint="eastAsia" w:ascii="仿宋" w:hAnsi="仿宋" w:eastAsia="仿宋" w:cs="仿宋"/>
          <w:color w:val="auto"/>
          <w:kern w:val="0"/>
          <w:sz w:val="20"/>
          <w:szCs w:val="20"/>
          <w:highlight w:val="none"/>
        </w:rPr>
        <w:t xml:space="preserve">       传 真：029-88222461      邮 编：710065</w:t>
      </w:r>
    </w:p>
    <w:p w14:paraId="668C3CE1">
      <w:pPr>
        <w:spacing w:line="440" w:lineRule="exact"/>
        <w:jc w:val="center"/>
        <w:rPr>
          <w:rFonts w:hint="eastAsia" w:ascii="仿宋" w:hAnsi="仿宋" w:eastAsia="仿宋" w:cs="仿宋"/>
          <w:b/>
          <w:bCs/>
          <w:color w:val="auto"/>
          <w:sz w:val="24"/>
          <w:szCs w:val="24"/>
          <w:highlight w:val="none"/>
        </w:rPr>
      </w:pPr>
      <w:r>
        <w:rPr>
          <w:rFonts w:hint="eastAsia" w:ascii="仿宋" w:hAnsi="仿宋" w:eastAsia="仿宋" w:cs="仿宋"/>
          <w:color w:val="auto"/>
          <w:kern w:val="0"/>
          <w:sz w:val="20"/>
          <w:szCs w:val="20"/>
          <w:highlight w:val="none"/>
        </w:rPr>
        <w:br w:type="page"/>
      </w:r>
      <w:bookmarkStart w:id="0" w:name="_Toc167591324"/>
      <w:bookmarkStart w:id="1" w:name="_Toc409523903"/>
      <w:bookmarkStart w:id="2" w:name="_Toc169846770"/>
      <w:bookmarkStart w:id="3" w:name="_Toc175033586"/>
      <w:bookmarkStart w:id="4" w:name="_Toc167590769"/>
      <w:bookmarkStart w:id="5" w:name="_Toc173549972"/>
      <w:bookmarkStart w:id="6" w:name="_Toc167591486"/>
      <w:bookmarkStart w:id="7" w:name="_Toc167849354"/>
      <w:bookmarkStart w:id="8" w:name="_Toc175032431"/>
      <w:bookmarkStart w:id="9" w:name="_Toc207897911"/>
      <w:bookmarkStart w:id="10" w:name="_Toc238720180"/>
      <w:bookmarkStart w:id="11" w:name="_Toc169838526"/>
      <w:bookmarkStart w:id="12" w:name="_Toc167591037"/>
      <w:bookmarkStart w:id="13" w:name="_Toc28053"/>
      <w:bookmarkStart w:id="14" w:name="_Toc7670"/>
      <w:bookmarkStart w:id="15" w:name="_Toc169846867"/>
      <w:bookmarkStart w:id="16" w:name="_Toc208337159"/>
      <w:bookmarkStart w:id="17" w:name="_Toc167591138"/>
      <w:bookmarkStart w:id="18" w:name="_Toc154482473"/>
      <w:bookmarkStart w:id="19" w:name="_Toc170980546"/>
      <w:r>
        <w:rPr>
          <w:rFonts w:hint="eastAsia" w:ascii="仿宋" w:hAnsi="仿宋" w:eastAsia="仿宋" w:cs="仿宋"/>
          <w:b/>
          <w:bCs/>
          <w:color w:val="auto"/>
          <w:sz w:val="24"/>
          <w:szCs w:val="24"/>
          <w:highlight w:val="none"/>
        </w:rPr>
        <w:t xml:space="preserve">  合同条款</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223B8CAF">
      <w:pPr>
        <w:keepNext w:val="0"/>
        <w:keepLines w:val="0"/>
        <w:pageBreakBefore w:val="0"/>
        <w:kinsoku/>
        <w:wordWrap/>
        <w:overflowPunct/>
        <w:topLinePunct w:val="0"/>
        <w:autoSpaceDE w:val="0"/>
        <w:autoSpaceDN w:val="0"/>
        <w:bidi w:val="0"/>
        <w:adjustRightInd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1.定义</w:t>
      </w:r>
    </w:p>
    <w:p w14:paraId="31A5AD81">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本合同下列术语应解释为：</w:t>
      </w:r>
    </w:p>
    <w:p w14:paraId="26238523">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1)“合同”系指买卖双方签署的、合同格式中载明的买卖双方所达成的协议，包括所有的附件、附录和上述文件所提到的构成合同的所有文件。</w:t>
      </w:r>
    </w:p>
    <w:p w14:paraId="3A2BA100">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2)“合同价”系指根据合同规定卖方在正确地完全履行合同义务后买方应支付给卖方的价格。</w:t>
      </w:r>
    </w:p>
    <w:p w14:paraId="20D20AE0">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3)“货物”系指卖方根据合同规定须向买方提供的一切材料、设备、机械、仪表、备件、工具和／或其它材料。</w:t>
      </w:r>
    </w:p>
    <w:p w14:paraId="6A35ECDF">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4)“服务”系指根据合同规定卖方承担与供货有关的辅助服务，比如包装、运输、保险以及其它的伴随服务，比如安装、调试、提供技术援助、培训和合同中规定卖方应承担的其它义务。</w:t>
      </w:r>
    </w:p>
    <w:p w14:paraId="0ECE4782">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5)“买方”系指合同中所述购买货物和服务的单位。</w:t>
      </w:r>
    </w:p>
    <w:p w14:paraId="2E9E01AF">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6)“卖方”系指合同中所述提供货物和服务的公司或其它实体。</w:t>
      </w:r>
    </w:p>
    <w:p w14:paraId="3C25BBC5">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7)“项目现场”系指本合同项下货物安装、运行的场地，其名称在合同中指明。</w:t>
      </w:r>
    </w:p>
    <w:p w14:paraId="505D74F8">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8)“天”指日历天数。</w:t>
      </w:r>
    </w:p>
    <w:p w14:paraId="6F2FAA41">
      <w:pPr>
        <w:keepNext w:val="0"/>
        <w:keepLines w:val="0"/>
        <w:pageBreakBefore w:val="0"/>
        <w:kinsoku/>
        <w:wordWrap/>
        <w:overflowPunct/>
        <w:topLinePunct w:val="0"/>
        <w:bidi w:val="0"/>
        <w:spacing w:before="120" w:beforeLines="50" w:line="240" w:lineRule="auto"/>
        <w:ind w:firstLine="402" w:firstLineChars="200"/>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2.适用性</w:t>
      </w:r>
    </w:p>
    <w:p w14:paraId="06941A88">
      <w:pPr>
        <w:keepNext w:val="0"/>
        <w:keepLines w:val="0"/>
        <w:pageBreakBefore w:val="0"/>
        <w:kinsoku/>
        <w:wordWrap/>
        <w:overflowPunct/>
        <w:topLinePunct w:val="0"/>
        <w:bidi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2.1 本合同条款适用于没有被本合同其他部分的条款所取代的范围。</w:t>
      </w:r>
    </w:p>
    <w:p w14:paraId="79EBC083">
      <w:pPr>
        <w:keepNext w:val="0"/>
        <w:keepLines w:val="0"/>
        <w:pageBreakBefore w:val="0"/>
        <w:kinsoku/>
        <w:wordWrap/>
        <w:overflowPunct/>
        <w:topLinePunct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3.技术规格</w:t>
      </w:r>
    </w:p>
    <w:p w14:paraId="76B483B2">
      <w:pPr>
        <w:keepNext w:val="0"/>
        <w:keepLines w:val="0"/>
        <w:pageBreakBefore w:val="0"/>
        <w:kinsoku/>
        <w:wordWrap/>
        <w:overflowPunct/>
        <w:topLinePunct w:val="0"/>
        <w:bidi w:val="0"/>
        <w:spacing w:line="240" w:lineRule="auto"/>
        <w:ind w:firstLine="392" w:firstLineChars="196"/>
        <w:textAlignment w:val="auto"/>
        <w:rPr>
          <w:rFonts w:hint="eastAsia" w:ascii="仿宋" w:hAnsi="仿宋" w:eastAsia="仿宋" w:cs="仿宋"/>
          <w:b/>
          <w:color w:val="auto"/>
          <w:kern w:val="0"/>
          <w:sz w:val="20"/>
          <w:szCs w:val="20"/>
          <w:highlight w:val="none"/>
        </w:rPr>
      </w:pPr>
      <w:r>
        <w:rPr>
          <w:rFonts w:hint="eastAsia" w:ascii="仿宋" w:hAnsi="仿宋" w:eastAsia="仿宋" w:cs="仿宋"/>
          <w:color w:val="auto"/>
          <w:kern w:val="0"/>
          <w:sz w:val="20"/>
          <w:szCs w:val="20"/>
          <w:highlight w:val="none"/>
        </w:rPr>
        <w:t>3.1 本合同下交付的货物应符合技术规格参数与要求所述的标准。如果没有提及适用标准的，则应符合中华人民共和国有关机构发布的最新版本的标准或经过质量管理行政部门备案的企业标准。</w:t>
      </w:r>
    </w:p>
    <w:p w14:paraId="4700975D">
      <w:pPr>
        <w:keepNext w:val="0"/>
        <w:keepLines w:val="0"/>
        <w:pageBreakBefore w:val="0"/>
        <w:kinsoku/>
        <w:wordWrap/>
        <w:overflowPunct/>
        <w:topLinePunct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3.2 除非技术规格中另有规定，计量单位均采用中华人民共和国法定计量单位。</w:t>
      </w:r>
    </w:p>
    <w:p w14:paraId="030916DA">
      <w:pPr>
        <w:keepNext w:val="0"/>
        <w:keepLines w:val="0"/>
        <w:pageBreakBefore w:val="0"/>
        <w:kinsoku/>
        <w:wordWrap/>
        <w:overflowPunct/>
        <w:topLinePunct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4.专利权</w:t>
      </w:r>
    </w:p>
    <w:p w14:paraId="4CDF47FB">
      <w:pPr>
        <w:keepNext w:val="0"/>
        <w:keepLines w:val="0"/>
        <w:pageBreakBefore w:val="0"/>
        <w:kinsoku/>
        <w:wordWrap/>
        <w:overflowPunct/>
        <w:topLinePunct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4.1 卖方应保证，买方使用该货物或货物的任何一部分时，免受第三方提出的侵犯其专利权、商标权、著作权或其它知识产权的起诉。</w:t>
      </w:r>
    </w:p>
    <w:p w14:paraId="18166794">
      <w:pPr>
        <w:keepNext w:val="0"/>
        <w:keepLines w:val="0"/>
        <w:pageBreakBefore w:val="0"/>
        <w:kinsoku/>
        <w:wordWrap/>
        <w:overflowPunct/>
        <w:topLinePunct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5.质保期</w:t>
      </w:r>
    </w:p>
    <w:p w14:paraId="61DD19FA">
      <w:pPr>
        <w:keepNext w:val="0"/>
        <w:keepLines w:val="0"/>
        <w:pageBreakBefore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5.1</w:t>
      </w:r>
      <w:r>
        <w:rPr>
          <w:rFonts w:hint="eastAsia" w:ascii="仿宋" w:hAnsi="仿宋" w:eastAsia="仿宋" w:cs="仿宋"/>
          <w:color w:val="auto"/>
          <w:sz w:val="20"/>
          <w:szCs w:val="20"/>
          <w:highlight w:val="none"/>
        </w:rPr>
        <w:t>货物的质保期自终验合格之日起</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个月。</w:t>
      </w:r>
    </w:p>
    <w:p w14:paraId="4DB8F2BD">
      <w:pPr>
        <w:keepNext w:val="0"/>
        <w:keepLines w:val="0"/>
        <w:pageBreakBefore w:val="0"/>
        <w:kinsoku/>
        <w:wordWrap/>
        <w:overflowPunct/>
        <w:topLinePunct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6.运输及安装调试</w:t>
      </w:r>
    </w:p>
    <w:p w14:paraId="5C40C284">
      <w:pPr>
        <w:keepNext w:val="0"/>
        <w:keepLines w:val="0"/>
        <w:pageBreakBefore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6.1</w:t>
      </w:r>
      <w:r>
        <w:rPr>
          <w:rFonts w:hint="eastAsia" w:ascii="仿宋" w:hAnsi="仿宋" w:eastAsia="仿宋" w:cs="仿宋"/>
          <w:color w:val="auto"/>
          <w:sz w:val="20"/>
          <w:szCs w:val="20"/>
          <w:highlight w:val="none"/>
        </w:rPr>
        <w:t>所有货物必须运输至项目地点，卖方负责所有设备的运输、保险、安装、调试。</w:t>
      </w:r>
    </w:p>
    <w:p w14:paraId="2EBBF97D">
      <w:pPr>
        <w:keepNext w:val="0"/>
        <w:keepLines w:val="0"/>
        <w:pageBreakBefore w:val="0"/>
        <w:kinsoku/>
        <w:wordWrap/>
        <w:overflowPunct/>
        <w:topLinePunct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7.货物的验收</w:t>
      </w:r>
    </w:p>
    <w:p w14:paraId="3E11EAEA">
      <w:pPr>
        <w:keepNext w:val="0"/>
        <w:keepLines w:val="0"/>
        <w:pageBreakBefore w:val="0"/>
        <w:kinsoku/>
        <w:wordWrap/>
        <w:overflowPunct/>
        <w:topLinePunct w:val="0"/>
        <w:bidi w:val="0"/>
        <w:spacing w:line="240" w:lineRule="auto"/>
        <w:ind w:firstLine="392" w:firstLineChars="196"/>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7.1 验收按</w:t>
      </w:r>
      <w:r>
        <w:rPr>
          <w:rFonts w:hint="eastAsia" w:ascii="仿宋" w:hAnsi="仿宋" w:eastAsia="仿宋" w:cs="仿宋"/>
          <w:color w:val="auto"/>
          <w:kern w:val="0"/>
          <w:sz w:val="20"/>
          <w:szCs w:val="20"/>
          <w:highlight w:val="none"/>
          <w:lang w:val="en-US" w:eastAsia="zh-CN"/>
        </w:rPr>
        <w:t>谈判</w:t>
      </w:r>
      <w:r>
        <w:rPr>
          <w:rFonts w:hint="eastAsia" w:ascii="仿宋" w:hAnsi="仿宋" w:eastAsia="仿宋" w:cs="仿宋"/>
          <w:color w:val="auto"/>
          <w:kern w:val="0"/>
          <w:sz w:val="20"/>
          <w:szCs w:val="20"/>
          <w:highlight w:val="none"/>
        </w:rPr>
        <w:t>文件“商务</w:t>
      </w:r>
      <w:r>
        <w:rPr>
          <w:rFonts w:hint="eastAsia" w:ascii="仿宋" w:hAnsi="仿宋" w:eastAsia="仿宋" w:cs="仿宋"/>
          <w:color w:val="auto"/>
          <w:kern w:val="0"/>
          <w:sz w:val="20"/>
          <w:szCs w:val="20"/>
          <w:highlight w:val="none"/>
          <w:lang w:val="en-US" w:eastAsia="zh-CN"/>
        </w:rPr>
        <w:t>要求</w:t>
      </w:r>
      <w:r>
        <w:rPr>
          <w:rFonts w:hint="eastAsia" w:ascii="仿宋" w:hAnsi="仿宋" w:eastAsia="仿宋" w:cs="仿宋"/>
          <w:color w:val="auto"/>
          <w:kern w:val="0"/>
          <w:sz w:val="20"/>
          <w:szCs w:val="20"/>
          <w:highlight w:val="none"/>
        </w:rPr>
        <w:t>”执行。</w:t>
      </w:r>
    </w:p>
    <w:p w14:paraId="60826D0D">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7.2 合同条款第7.1条的规定不能免除卖方在本合同项下的保证义务或其他义务。</w:t>
      </w:r>
    </w:p>
    <w:p w14:paraId="028912FB">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8.伴随服务</w:t>
      </w:r>
    </w:p>
    <w:p w14:paraId="7062A9B4">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8.1 除合同条款中另有规定外，买方只应要求卖方提交所供货物的技术文件。包括相应的每一套设备和仪器的中文的技术文件，例如：产品目录、图纸、操作手册、使用说明、维护手册和／或服务指南。这些文件应包装好随同每批货物一起发运。</w:t>
      </w:r>
    </w:p>
    <w:p w14:paraId="5C29CE24">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8.2 卖方可能被要求提供下列服务中的任一或所有服务，包括“合同条款”与“技术规格与要求”中规定的附加服务（如果有的话）：</w:t>
      </w:r>
    </w:p>
    <w:p w14:paraId="43AE9F8D">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1）实施或监督所供货物的现场组装和/或试运行；</w:t>
      </w:r>
    </w:p>
    <w:p w14:paraId="105A39EF">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2）提供货物组装和/或维修所需的工具；</w:t>
      </w:r>
    </w:p>
    <w:p w14:paraId="7E663043">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3）为所供货物的每一适当的单台设备提供详细的操作和维护手册；</w:t>
      </w:r>
    </w:p>
    <w:p w14:paraId="40C648B7">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4）在双方商定的一定期限内对所供货物实施运行或监督或维护或修理，但前提条件是该服务并不能免除卖方在合同保证期内所承担的义务；</w:t>
      </w:r>
    </w:p>
    <w:p w14:paraId="54F07064">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8.3 如果卖方或制造商提供的伴随服务的费用未含在货物的合同价中，双方应事先就其达成协议，但其费用单价不应超过卖方向其他人提供类似服务所收取的现行单价。</w:t>
      </w:r>
    </w:p>
    <w:p w14:paraId="34CA36FD">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8.4 卖方应提供“合同条款”与“技术规格与要求”中规定的所有服务。为履行要求的伴随服务的报价或双方商定的费用应包括在合同价中。</w:t>
      </w:r>
    </w:p>
    <w:p w14:paraId="55010296">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8.5 对于售后服务工作不到位，故意推诿、拖延，造成不良影响的，将报请</w:t>
      </w:r>
      <w:r>
        <w:rPr>
          <w:rFonts w:hint="eastAsia" w:ascii="仿宋" w:hAnsi="仿宋" w:eastAsia="仿宋" w:cs="仿宋"/>
          <w:color w:val="auto"/>
          <w:sz w:val="20"/>
          <w:szCs w:val="20"/>
          <w:highlight w:val="none"/>
        </w:rPr>
        <w:t>监督管理机构</w:t>
      </w:r>
      <w:r>
        <w:rPr>
          <w:rFonts w:hint="eastAsia" w:ascii="仿宋" w:hAnsi="仿宋" w:eastAsia="仿宋" w:cs="仿宋"/>
          <w:color w:val="auto"/>
          <w:kern w:val="0"/>
          <w:sz w:val="20"/>
          <w:szCs w:val="20"/>
          <w:highlight w:val="none"/>
        </w:rPr>
        <w:t>按有关规定进行处理。</w:t>
      </w:r>
    </w:p>
    <w:p w14:paraId="6036D9A7">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9.备品备件</w:t>
      </w:r>
    </w:p>
    <w:p w14:paraId="74BC3F8A">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9.1 卖方可能被要求提供下列与备品备件有关的材料、通知和资料：</w:t>
      </w:r>
    </w:p>
    <w:p w14:paraId="45B7CF84">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1）买方从卖方选购备品备件，但前提条件是该选择并不能免除卖方在合同保证期内所承担的义务；</w:t>
      </w:r>
    </w:p>
    <w:p w14:paraId="09C929B4">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2）在备品备件停止生产的情况下，卖方应事先将要停止生产的计划通知买方使买方有足够的时间采购所需的备品备件；</w:t>
      </w:r>
    </w:p>
    <w:p w14:paraId="759CEF1B">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3）在备品备件停止生产后，如果买方要求，卖方应免费向买方提供备品备件的蓝图、图纸和规格。</w:t>
      </w:r>
    </w:p>
    <w:p w14:paraId="7FC08D94">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9.2 卖方应按“合同条款”与“技术规格与要求”中的规定提供所需的备品备件。</w:t>
      </w:r>
    </w:p>
    <w:p w14:paraId="0C863ADC">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10.质量保证</w:t>
      </w:r>
    </w:p>
    <w:p w14:paraId="7E680D3A">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10.1卖方应保证合同项下所供货物是全新的、未使用过的，是最新或目前最流行的型号和用一流的工艺生产的，并完全符合合同规定的质量、规格和性能的要求。所有货物渠道正当，配置合理。卖方进一步保证，合同项下提供的全部货物没有设计、材料或工艺上的缺陷，或者没有因卖方的行为或疏忽而产生的缺陷。卖方应保证其货物在正确安装、正常使用和保养条件下，在其使用寿命期内应具有满意的性能。在货物的质量保证期内，卖方对由于设计、工艺或材料的缺陷而产生的故障负责。</w:t>
      </w:r>
    </w:p>
    <w:p w14:paraId="4ACF910E">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10.2 根据质量检测部门检测结果或者在质量保证期内，如果货物的数量、质量或规格与合同不符，或证实货物是有缺陷的，包括潜在的缺陷，买方应尽快以书面形式向卖方提出所发现的缺陷。</w:t>
      </w:r>
    </w:p>
    <w:p w14:paraId="15D4E126">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10.3 卖方收到通知后应在七（7）天时间内以合理的速度免费维修或更换有缺陷的货物或部件。</w:t>
      </w:r>
    </w:p>
    <w:p w14:paraId="16476A23">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10.4 如果卖方收到通知后在七（7）天时间内没有以合理的速度弥补缺陷，买方可提出索赔，并可采取必要的补救措施，但其风险和费用将由卖方承担，买方根据合同规定对卖方行使的其他权利不受影响。</w:t>
      </w:r>
    </w:p>
    <w:p w14:paraId="204267A4">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11.索赔</w:t>
      </w:r>
    </w:p>
    <w:p w14:paraId="6B45B7D9">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11.1 如果卖方对偏差负有责任，而买方在合同条款第10条或合同的其他条款规定的检验、安装、调试、验收和质量保证期内提出了索赔，卖方应按照买方同意的下列一种或几种方式结合起来解决索赔事宜：</w:t>
      </w:r>
    </w:p>
    <w:p w14:paraId="14459777">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7762CEF4">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2）根据货物的偏差情况、损坏程度、以及买方所遭受损失的金额，经买卖双方商定降低货物的价格。</w:t>
      </w:r>
    </w:p>
    <w:p w14:paraId="4C2E818E">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用符合合同规定的规格、质量和性能要求的新零件、部件和/或设备来更换有缺陷的部分和/或修补缺陷部分，卖方应承担一切费用和风险并负担买方蒙受的全部直接损失费用。同时，卖方应按合同条款第10条规定，相应延长所更换货物的质量保证期。</w:t>
      </w:r>
    </w:p>
    <w:p w14:paraId="73DA5314">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中扣回索赔金额。</w:t>
      </w:r>
    </w:p>
    <w:p w14:paraId="744EFC7D">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12.付款</w:t>
      </w:r>
    </w:p>
    <w:p w14:paraId="7B72F6F6">
      <w:pPr>
        <w:keepNext w:val="0"/>
        <w:keepLines w:val="0"/>
        <w:pageBreakBefore w:val="0"/>
        <w:kinsoku/>
        <w:wordWrap/>
        <w:overflowPunct/>
        <w:topLinePunct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12.1</w:t>
      </w:r>
      <w:r>
        <w:rPr>
          <w:rFonts w:hint="eastAsia" w:ascii="仿宋" w:hAnsi="仿宋" w:eastAsia="仿宋" w:cs="仿宋"/>
          <w:color w:val="auto"/>
          <w:kern w:val="0"/>
          <w:sz w:val="20"/>
          <w:szCs w:val="20"/>
          <w:highlight w:val="none"/>
        </w:rPr>
        <w:t>按招标文件“商务</w:t>
      </w:r>
      <w:r>
        <w:rPr>
          <w:rFonts w:hint="eastAsia" w:ascii="仿宋" w:hAnsi="仿宋" w:eastAsia="仿宋" w:cs="仿宋"/>
          <w:color w:val="auto"/>
          <w:kern w:val="0"/>
          <w:sz w:val="20"/>
          <w:szCs w:val="20"/>
          <w:highlight w:val="none"/>
          <w:lang w:val="en-US" w:eastAsia="zh-CN"/>
        </w:rPr>
        <w:t>要求</w:t>
      </w:r>
      <w:r>
        <w:rPr>
          <w:rFonts w:hint="eastAsia" w:ascii="仿宋" w:hAnsi="仿宋" w:eastAsia="仿宋" w:cs="仿宋"/>
          <w:color w:val="auto"/>
          <w:kern w:val="0"/>
          <w:sz w:val="20"/>
          <w:szCs w:val="20"/>
          <w:highlight w:val="none"/>
        </w:rPr>
        <w:t>”执行。</w:t>
      </w:r>
    </w:p>
    <w:p w14:paraId="0707D2A8">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13.价格</w:t>
      </w:r>
    </w:p>
    <w:p w14:paraId="49CFDD6B">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13.1 卖方在本合同项下提交货物和履行服务的价格按中标通知书的所列值在合同中给出。</w:t>
      </w:r>
    </w:p>
    <w:p w14:paraId="194E1A3E">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14.变更指令</w:t>
      </w:r>
    </w:p>
    <w:p w14:paraId="786A55FC">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14.1 买方可以在任何时候书面向卖方发出指令，在本合同的一般范围内变更下述一项或几项：</w:t>
      </w:r>
    </w:p>
    <w:p w14:paraId="0B990699">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1）本合同项下提供的货物是专为买方制造时，变更图纸、设计或规格；</w:t>
      </w:r>
    </w:p>
    <w:p w14:paraId="4A3FB066">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2）运输或包装的方法；</w:t>
      </w:r>
    </w:p>
    <w:p w14:paraId="11359669">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3）交货地点；</w:t>
      </w:r>
    </w:p>
    <w:p w14:paraId="6764401F">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4）卖方提供的服务。</w:t>
      </w:r>
    </w:p>
    <w:p w14:paraId="56D6432B">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14.2 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46823BD2">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15.合同修改</w:t>
      </w:r>
    </w:p>
    <w:p w14:paraId="6C237834">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15.1 除了合同条款第14条的情况，不应对合同条款进行任何变更或修改，除非双方同意并签订书面的合同修改书。</w:t>
      </w:r>
    </w:p>
    <w:p w14:paraId="5713EBC3">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16.转让</w:t>
      </w:r>
    </w:p>
    <w:p w14:paraId="7A6A509C">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16.1 未经买方事先书面同意，卖方不得部分转让或全部转让其应履行的合同义务。</w:t>
      </w:r>
    </w:p>
    <w:p w14:paraId="62E1F5AE">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17.分包</w:t>
      </w:r>
    </w:p>
    <w:p w14:paraId="0701DEAD">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17.1 对投标文件中没有明确分包的合同，卖方应书面通知买方其在本合同中将分包的全部分包合同，并需经买方同意，但此分包通知并不能解除卖方履行本合同的责任和义务。</w:t>
      </w:r>
    </w:p>
    <w:p w14:paraId="0D23D099">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18.卖方履约延误</w:t>
      </w:r>
    </w:p>
    <w:p w14:paraId="0115F2B9">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18.1 卖方应按照合同中规定的交货时间和服务要求按时交货和提供服务。</w:t>
      </w:r>
    </w:p>
    <w:p w14:paraId="16C6727F">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18.2 在履行合同过程中，如果卖方及其分包人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14E04FF3">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18.3 除合同条款第21条规定的情况外,除非拖延是根据合同条款第18.2条的规定取得同意而不收取误期赔偿费之外，卖方延误交货，将按合同条款第19条的规定被收取误期赔偿费。</w:t>
      </w:r>
    </w:p>
    <w:p w14:paraId="5C0FBFE7">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19.误期赔偿费</w:t>
      </w:r>
    </w:p>
    <w:p w14:paraId="312D9605">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19.1  除合同条款第21条规定的情况外，如果卖方没有按照合同规定的时间交货和提供服务，买方应在不影响合同项下的其他补救措施的情况下，从合同价中扣除误期赔偿费。每延误一周的赔偿费按迟交货物交货价或未提供服务的服务费用的百分之零点五（0.5%）计收，直至交货或提供服务为止。误期赔偿费的最高限额为合同价格的百分之五（5%）。一旦达到误期赔偿费的最高限额，买方可考虑根据合同条款第20条的规定终止合同。</w:t>
      </w:r>
    </w:p>
    <w:p w14:paraId="5BC4A42B">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20.违约终止合同</w:t>
      </w:r>
    </w:p>
    <w:p w14:paraId="3EC6B89F">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20.1 在买方对卖方违约而采取的任何补救措施不受影响的情况下，买方可向卖方发出书面违约通知书，提出终止部分或全部合同：</w:t>
      </w:r>
    </w:p>
    <w:p w14:paraId="7DC33E69">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1）如果卖方未能在合同规定的期限内或买方根据合同条款第18.2条的规定同意延长的期限内提供部分或全部货物；</w:t>
      </w:r>
    </w:p>
    <w:p w14:paraId="3D16E0E3">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2）如果卖方未能履行合同规定的其它任何义务。</w:t>
      </w:r>
    </w:p>
    <w:p w14:paraId="2ADF7345">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3）如果买方认为卖方在本合同的竞争和实施过程中有腐败和欺诈行为。为此目的，定义下述条件：</w:t>
      </w:r>
    </w:p>
    <w:p w14:paraId="7270F48C">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“腐败行为”是指提供、给予、接受或索取任何有价值的物品来影响买方在采购过程或合同实施过程中的行为。</w:t>
      </w:r>
    </w:p>
    <w:p w14:paraId="02E0B906">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“欺诈行为”是指为了影响采购过程或合同实施过程而谎报或隐瞒事实，损害买方利益的行为。</w:t>
      </w:r>
    </w:p>
    <w:p w14:paraId="54E90775">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20.2 如果买方根据上述第20.1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78B8C5C2">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21.不可抗力</w:t>
      </w:r>
    </w:p>
    <w:p w14:paraId="57D80418">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21.1 签约双方中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严重火灾、洪水、台风、地震等。</w:t>
      </w:r>
    </w:p>
    <w:p w14:paraId="28F66125">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21.2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7D18D7B">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21.3 因合同一方迟延履行合同后发生不可抗力的，不能免除迟延履行方的相应责任。</w:t>
      </w:r>
    </w:p>
    <w:p w14:paraId="61B2EE87">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22.因破产而终止合同</w:t>
      </w:r>
    </w:p>
    <w:p w14:paraId="3ED81324">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22.1 如果卖方破产或无清偿能力，买方可在任何时候以书面形式通知卖方，提出终止合同而不给卖方补偿。该合同的终止将不损害或影响买方已经采取或将要采取的任何行动或补救措施的权利。</w:t>
      </w:r>
    </w:p>
    <w:p w14:paraId="78E08031">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23.因买方的便利而终止合同</w:t>
      </w:r>
    </w:p>
    <w:p w14:paraId="5555BD7D">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23.1 买方可在任何时候出于自身的便利向卖方发出书面通知全部或部分终止合同，终止通知应明确该终止合同是出于买方的便利，并明确合同终止的程度，以及终止的生效日期。</w:t>
      </w:r>
    </w:p>
    <w:p w14:paraId="219EE1F9">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23.2 对卖方收到终止通知后三十（30）天内已完成并准备装运的货物，买方应按原合同价格和条款予以接收，对于剩下的货物，买方可：</w:t>
      </w:r>
    </w:p>
    <w:p w14:paraId="3603370F">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1）仅对部分货物按照原来的合同价格和条款予以接受；或</w:t>
      </w:r>
    </w:p>
    <w:p w14:paraId="5D9EE23F">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2）取消对所剩货物的采购，并按双方商定的金额向卖方支付部分完成的货物和服务以及卖方以前已采购的材料和部件的费用。</w:t>
      </w:r>
    </w:p>
    <w:p w14:paraId="11C6EA95">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24.争议的解决</w:t>
      </w:r>
    </w:p>
    <w:p w14:paraId="6ECF5D79">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24.1 因执行本合同所发生的与本合同有关的一切争议,双方应通过友好协商解决。如果协商开始后还不能解决，任何一方均可按中华人民共和国有关法律的规定提交仲裁。</w:t>
      </w:r>
    </w:p>
    <w:p w14:paraId="74C7728D">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24.2 仲裁裁决应为最终裁决，对双方均具有约束力。</w:t>
      </w:r>
    </w:p>
    <w:p w14:paraId="7965C239">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24.3 仲裁费除仲裁机关另有裁决外均应由败诉方负担。</w:t>
      </w:r>
    </w:p>
    <w:p w14:paraId="614648A6">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24.4 在仲裁期间，除正在进行仲裁的部分外，本合同其它部分应继续执行。</w:t>
      </w:r>
    </w:p>
    <w:p w14:paraId="36E44E57">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25.适用法律</w:t>
      </w:r>
    </w:p>
    <w:p w14:paraId="27180B9B">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25.1 本合同应按照中华人民共和国的现行法律进行解释。</w:t>
      </w:r>
    </w:p>
    <w:p w14:paraId="46E1099B">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26.通知</w:t>
      </w:r>
    </w:p>
    <w:p w14:paraId="1277CE22">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26.1 本合同一方给对方的通知应用书面形式送到合同条款中规定的对方的地址。传真要经书面确认。</w:t>
      </w:r>
    </w:p>
    <w:p w14:paraId="74F7CBFF">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26.2 通知以送到日期或通知书的生效日期为生效日期，两者中以晚的一个日期为准。</w:t>
      </w:r>
    </w:p>
    <w:p w14:paraId="01A45BDE">
      <w:pPr>
        <w:keepNext w:val="0"/>
        <w:keepLines w:val="0"/>
        <w:pageBreakBefore w:val="0"/>
        <w:kinsoku/>
        <w:wordWrap/>
        <w:overflowPunct/>
        <w:topLinePunct w:val="0"/>
        <w:autoSpaceDN w:val="0"/>
        <w:bidi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27.税款</w:t>
      </w:r>
    </w:p>
    <w:p w14:paraId="2788E55A">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27.1 按照中华人民共和国税法和有关部门的规定，买方需交纳的与本合同有关的一切税费均应由买方负担。</w:t>
      </w:r>
    </w:p>
    <w:p w14:paraId="0B93F9C1">
      <w:pPr>
        <w:keepNext w:val="0"/>
        <w:keepLines w:val="0"/>
        <w:pageBreakBefore w:val="0"/>
        <w:kinsoku/>
        <w:wordWrap/>
        <w:overflowPunct/>
        <w:topLinePunct w:val="0"/>
        <w:autoSpaceDN w:val="0"/>
        <w:bidi w:val="0"/>
        <w:spacing w:line="240" w:lineRule="auto"/>
        <w:ind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27.2 按照中华人民共和国税法和有关部门的规定，卖方需交纳的与本合同有关的一切税费均应由卖方负担。</w:t>
      </w:r>
    </w:p>
    <w:p w14:paraId="433EE2C4">
      <w:pPr>
        <w:keepNext w:val="0"/>
        <w:keepLines w:val="0"/>
        <w:pageBreakBefore w:val="0"/>
        <w:kinsoku/>
        <w:wordWrap/>
        <w:overflowPunct/>
        <w:topLinePunct w:val="0"/>
        <w:autoSpaceDN w:val="0"/>
        <w:bidi w:val="0"/>
        <w:adjustRightInd w:val="0"/>
        <w:snapToGrid w:val="0"/>
        <w:spacing w:before="120" w:beforeLines="50" w:line="240" w:lineRule="auto"/>
        <w:ind w:firstLine="402" w:firstLineChars="200"/>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28.合同生效</w:t>
      </w:r>
    </w:p>
    <w:p w14:paraId="09E11C1D">
      <w:pPr>
        <w:keepNext w:val="0"/>
        <w:keepLines w:val="0"/>
        <w:pageBreakBefore w:val="0"/>
        <w:kinsoku/>
        <w:wordWrap/>
        <w:overflowPunct/>
        <w:topLinePunct w:val="0"/>
        <w:bidi w:val="0"/>
        <w:spacing w:line="240" w:lineRule="auto"/>
        <w:ind w:firstLine="400" w:firstLineChars="200"/>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kern w:val="0"/>
          <w:sz w:val="20"/>
          <w:szCs w:val="20"/>
          <w:highlight w:val="none"/>
        </w:rPr>
        <w:t>28.1 本合同应在买卖双方共同签字并盖章后生效</w:t>
      </w:r>
      <w:r>
        <w:rPr>
          <w:rFonts w:hint="eastAsia" w:ascii="仿宋" w:hAnsi="仿宋" w:eastAsia="仿宋" w:cs="仿宋"/>
          <w:color w:val="auto"/>
          <w:kern w:val="0"/>
          <w:sz w:val="20"/>
          <w:szCs w:val="20"/>
          <w:highlight w:val="none"/>
          <w:lang w:eastAsia="zh-CN"/>
        </w:rPr>
        <w:t>。</w:t>
      </w:r>
    </w:p>
    <w:p w14:paraId="46627F7A">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450706"/>
    <w:rsid w:val="33450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Char Char4 Char Char Char Char"/>
    <w:basedOn w:val="1"/>
    <w:qFormat/>
    <w:uiPriority w:val="0"/>
    <w:pPr>
      <w:spacing w:line="440" w:lineRule="atLeast"/>
      <w:ind w:firstLine="482" w:firstLineChars="200"/>
    </w:pPr>
    <w:rPr>
      <w:rFonts w:ascii="宋体" w:hAnsi="宋体"/>
      <w:b/>
      <w:color w:val="0000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2025-07-28T10:29:00Z</dcterms:created>
  <dc:creator>JYZB</dc:creator>
  <cp:lastModifiedBy>JYZB</cp:lastModifiedBy>
  <dcterms:modified xsi:type="dcterms:W3CDTF">2025-07-28T10:29:21Z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ADE4ED433C424436A7768E5E708C8EA1_11</vt:lpwstr>
  </property>
  <property fmtid="{D5CDD505-2E9C-101B-9397-08002B2CF9AE}" pid="4" name="KSOTemplateDocerSaveRecord">
    <vt:lpwstr>eyJoZGlkIjoiZGUyNWE1MGU0YmE1N2M2YzBhOTczODhkN2UwNWQ1NzEiLCJ1c2VySWQiOiIyNDIxOTA0MzAifQ==</vt:lpwstr>
  </property>
</Properties>
</file>