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版本号：JXZB2025-07-2020250728001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黑河水源地应急系统运行及维护费项目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JXZB2025-07-20</w:t>
      </w:r>
      <w:r>
        <w:br/>
      </w:r>
      <w:r>
        <w:br/>
      </w:r>
      <w:r>
        <w:br/>
      </w:r>
    </w:p>
    <w:p>
      <w:pPr>
        <w:pStyle w:val="null3"/>
        <w:jc w:val="center"/>
        <w:outlineLvl w:val="2"/>
      </w:pPr>
      <w:r>
        <w:rPr>
          <w:rFonts w:ascii="仿宋_GB2312" w:hAnsi="仿宋_GB2312" w:cs="仿宋_GB2312" w:eastAsia="仿宋_GB2312"/>
          <w:sz w:val="28"/>
          <w:b/>
        </w:rPr>
        <w:t>西安市黑河水源地环境保护管理总站</w:t>
      </w:r>
    </w:p>
    <w:p>
      <w:pPr>
        <w:pStyle w:val="null3"/>
        <w:jc w:val="center"/>
        <w:outlineLvl w:val="2"/>
      </w:pPr>
      <w:r>
        <w:rPr>
          <w:rFonts w:ascii="仿宋_GB2312" w:hAnsi="仿宋_GB2312" w:cs="仿宋_GB2312" w:eastAsia="仿宋_GB2312"/>
          <w:sz w:val="28"/>
          <w:b/>
        </w:rPr>
        <w:t>建信众诚工程咨询有限公司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建信众诚工程咨询有限公司</w:t>
      </w:r>
      <w:r>
        <w:rPr>
          <w:rFonts w:ascii="仿宋_GB2312" w:hAnsi="仿宋_GB2312" w:cs="仿宋_GB2312" w:eastAsia="仿宋_GB2312"/>
        </w:rPr>
        <w:t>（以下简称“代理机构”）受</w:t>
      </w:r>
      <w:r>
        <w:rPr>
          <w:rFonts w:ascii="仿宋_GB2312" w:hAnsi="仿宋_GB2312" w:cs="仿宋_GB2312" w:eastAsia="仿宋_GB2312"/>
        </w:rPr>
        <w:t>西安市黑河水源地环境保护管理总站</w:t>
      </w:r>
      <w:r>
        <w:rPr>
          <w:rFonts w:ascii="仿宋_GB2312" w:hAnsi="仿宋_GB2312" w:cs="仿宋_GB2312" w:eastAsia="仿宋_GB2312"/>
        </w:rPr>
        <w:t>委托，拟对</w:t>
      </w:r>
      <w:r>
        <w:rPr>
          <w:rFonts w:ascii="仿宋_GB2312" w:hAnsi="仿宋_GB2312" w:cs="仿宋_GB2312" w:eastAsia="仿宋_GB2312"/>
        </w:rPr>
        <w:t>黑河水源地应急系统运行及维护费项目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JXZB2025-07-20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黑河水源地应急系统运行及维护费项目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本项目主要针对黑河水源地视频监控运行维护及黑河环保总站及分站污水处理系统运行维护</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采购包1（视频监控智能预警系统运维服务）：属于专门面向中小企业采购。</w:t>
      </w:r>
    </w:p>
    <w:p>
      <w:pPr>
        <w:pStyle w:val="null3"/>
      </w:pPr>
      <w:r>
        <w:rPr>
          <w:rFonts w:ascii="仿宋_GB2312" w:hAnsi="仿宋_GB2312" w:cs="仿宋_GB2312" w:eastAsia="仿宋_GB2312"/>
        </w:rPr>
        <w:t>采购包2（污水处理站运行维护服务）：属于专门面向中小企业采购。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营业执照、税务登记证、组织机构代码证（多证合一只提供营业执照，事业单位提供事业单位法人证书，自然人提供本人身份证合法有效）；</w:t>
      </w:r>
    </w:p>
    <w:p>
      <w:pPr>
        <w:pStyle w:val="null3"/>
      </w:pPr>
      <w:r>
        <w:rPr>
          <w:rFonts w:ascii="仿宋_GB2312" w:hAnsi="仿宋_GB2312" w:cs="仿宋_GB2312" w:eastAsia="仿宋_GB2312"/>
        </w:rPr>
        <w:t>2、 企业技术资质：供应商具有建设行政主管部门颁发的电子与智能化工程专业承包二级及以上（含二级）资质证书，且具备有效的安全生产许可证；</w:t>
      </w:r>
    </w:p>
    <w:p>
      <w:pPr>
        <w:pStyle w:val="null3"/>
      </w:pPr>
      <w:r>
        <w:rPr>
          <w:rFonts w:ascii="仿宋_GB2312" w:hAnsi="仿宋_GB2312" w:cs="仿宋_GB2312" w:eastAsia="仿宋_GB2312"/>
        </w:rPr>
        <w:t>3、项目负责人资质：拟派项目负责人具有机电专业二级及以上建造师注册证书并提供有效的安全生产考核合格证书（B 类证）及提供在本企业2024年07月份至投标截止时间已缴纳的至少六个月社保缴纳证明，且无在建项目（提供无在建项目承诺书)；</w:t>
      </w:r>
    </w:p>
    <w:p>
      <w:pPr>
        <w:pStyle w:val="null3"/>
      </w:pPr>
      <w:r>
        <w:rPr>
          <w:rFonts w:ascii="仿宋_GB2312" w:hAnsi="仿宋_GB2312" w:cs="仿宋_GB2312" w:eastAsia="仿宋_GB2312"/>
        </w:rPr>
        <w:t>4、财务状况报告：须提供2023或2024任意一年度财务报表或具有财务审计资质的单位出具的财务报告（至少包括资产负债表和利润表，成立时间至提交投标文件截止时间不足一年的可提供成立后任意时段的资产负债表）或银行出具的资信证明；</w:t>
      </w:r>
    </w:p>
    <w:p>
      <w:pPr>
        <w:pStyle w:val="null3"/>
      </w:pPr>
      <w:r>
        <w:rPr>
          <w:rFonts w:ascii="仿宋_GB2312" w:hAnsi="仿宋_GB2312" w:cs="仿宋_GB2312" w:eastAsia="仿宋_GB2312"/>
        </w:rPr>
        <w:t>5、社会保障资金缴纳证明：提供2025年1月至今已缴纳的至少一个月的社会保障资金缴存单据或社保机构开具的社会保险参保缴费情况证明，依法不需要缴纳社会保障资金的单位应提供相关证明材料；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6、税收缴纳证明：提供2025年1月至今已缴纳的至少一个月的纳税证明或完税证明，依法免税的单位应提供相关证明材料；</w:t>
      </w:r>
    </w:p>
    <w:p>
      <w:pPr>
        <w:pStyle w:val="null3"/>
      </w:pPr>
      <w:r>
        <w:rPr>
          <w:rFonts w:ascii="仿宋_GB2312" w:hAnsi="仿宋_GB2312" w:cs="仿宋_GB2312" w:eastAsia="仿宋_GB2312"/>
        </w:rPr>
        <w:t>7、书面声明：参加本次政府采购活动前三年内在经营活动中没有重大违纪的书面声明；</w:t>
      </w:r>
    </w:p>
    <w:p>
      <w:pPr>
        <w:pStyle w:val="null3"/>
      </w:pPr>
      <w:r>
        <w:rPr>
          <w:rFonts w:ascii="仿宋_GB2312" w:hAnsi="仿宋_GB2312" w:cs="仿宋_GB2312" w:eastAsia="仿宋_GB2312"/>
        </w:rPr>
        <w:t>8、书面承诺：履行合同所必需的设备和专业技术能力的承诺；</w:t>
      </w:r>
    </w:p>
    <w:p>
      <w:pPr>
        <w:pStyle w:val="null3"/>
      </w:pPr>
      <w:r>
        <w:rPr>
          <w:rFonts w:ascii="仿宋_GB2312" w:hAnsi="仿宋_GB2312" w:cs="仿宋_GB2312" w:eastAsia="仿宋_GB2312"/>
        </w:rPr>
        <w:t>9、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10、关联关系：单位负责人为同一人或者存在控股、管理关系的不同单位不得同时投标；</w:t>
      </w:r>
    </w:p>
    <w:p>
      <w:pPr>
        <w:pStyle w:val="null3"/>
      </w:pPr>
      <w:r>
        <w:rPr>
          <w:rFonts w:ascii="仿宋_GB2312" w:hAnsi="仿宋_GB2312" w:cs="仿宋_GB2312" w:eastAsia="仿宋_GB2312"/>
        </w:rPr>
        <w:t>11、本次项目不接受联合体投标：提供非联合体投标承诺书；</w:t>
      </w:r>
    </w:p>
    <w:p>
      <w:pPr>
        <w:pStyle w:val="null3"/>
      </w:pPr>
      <w:r>
        <w:rPr>
          <w:rFonts w:ascii="仿宋_GB2312" w:hAnsi="仿宋_GB2312" w:cs="仿宋_GB2312" w:eastAsia="仿宋_GB2312"/>
        </w:rPr>
        <w:t>12、中小企业声明函：本项目专门面向中小企业采购，仅限符合《政府采购促进中小企业发展管理办法》（ 财库〔2020〕46号）条件的中小企业参与，提供中小企业声明函（残疾人福利性单位、监狱企业视同小、微企业）。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营业执照、税务登记证、组织机构代码证（多证合一只提供营业执照，事业单位提供事业单位法人证书，自然人提供本人身份证合法有效）；</w:t>
      </w:r>
    </w:p>
    <w:p>
      <w:pPr>
        <w:pStyle w:val="null3"/>
      </w:pPr>
      <w:r>
        <w:rPr>
          <w:rFonts w:ascii="仿宋_GB2312" w:hAnsi="仿宋_GB2312" w:cs="仿宋_GB2312" w:eastAsia="仿宋_GB2312"/>
        </w:rPr>
        <w:t>2、财务状况报告：须提供2023或2024任意一年度财务报表或具有财务审计资质的单位出具的财务报告（至少包括资产负债表和利润表，成立时间至提交投标文件截止时间不足一年的可提供成立后任意时段的资产负债表）或银行出具的资信证明；</w:t>
      </w:r>
    </w:p>
    <w:p>
      <w:pPr>
        <w:pStyle w:val="null3"/>
      </w:pPr>
      <w:r>
        <w:rPr>
          <w:rFonts w:ascii="仿宋_GB2312" w:hAnsi="仿宋_GB2312" w:cs="仿宋_GB2312" w:eastAsia="仿宋_GB2312"/>
        </w:rPr>
        <w:t>3、社会保障资金缴纳证明：提供2025年1月至今已缴纳的至少一个月的社会保障资金缴存单据或社保机构开具的社会保险参保缴费情况证明，依法不需要缴纳社会保障资金的单位应提供相关证明材料；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4、税收缴纳证明：提供2025年1月至今已缴纳的至少一个月的纳税证明或完税证明，依法免税的单位应提供相关证明材料；</w:t>
      </w:r>
    </w:p>
    <w:p>
      <w:pPr>
        <w:pStyle w:val="null3"/>
      </w:pPr>
      <w:r>
        <w:rPr>
          <w:rFonts w:ascii="仿宋_GB2312" w:hAnsi="仿宋_GB2312" w:cs="仿宋_GB2312" w:eastAsia="仿宋_GB2312"/>
        </w:rPr>
        <w:t>5、书面声明：参加本次政府采购活动前三年内在经营活动中没有重大违纪的书面声明；</w:t>
      </w:r>
    </w:p>
    <w:p>
      <w:pPr>
        <w:pStyle w:val="null3"/>
      </w:pPr>
      <w:r>
        <w:rPr>
          <w:rFonts w:ascii="仿宋_GB2312" w:hAnsi="仿宋_GB2312" w:cs="仿宋_GB2312" w:eastAsia="仿宋_GB2312"/>
        </w:rPr>
        <w:t>6、书面承诺：履行合同所必需的设备和专业技术能力的承诺；</w:t>
      </w:r>
    </w:p>
    <w:p>
      <w:pPr>
        <w:pStyle w:val="null3"/>
      </w:pPr>
      <w:r>
        <w:rPr>
          <w:rFonts w:ascii="仿宋_GB2312" w:hAnsi="仿宋_GB2312" w:cs="仿宋_GB2312" w:eastAsia="仿宋_GB2312"/>
        </w:rPr>
        <w:t>7、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8、关联关系：单位负责人为同一人或者存在控股、管理关系的不同单位不得同时投标；</w:t>
      </w:r>
    </w:p>
    <w:p>
      <w:pPr>
        <w:pStyle w:val="null3"/>
      </w:pPr>
      <w:r>
        <w:rPr>
          <w:rFonts w:ascii="仿宋_GB2312" w:hAnsi="仿宋_GB2312" w:cs="仿宋_GB2312" w:eastAsia="仿宋_GB2312"/>
        </w:rPr>
        <w:t>9、本次项目不接受联合体投标：提供非联合体投标承诺书；</w:t>
      </w:r>
    </w:p>
    <w:p>
      <w:pPr>
        <w:pStyle w:val="null3"/>
      </w:pPr>
      <w:r>
        <w:rPr>
          <w:rFonts w:ascii="仿宋_GB2312" w:hAnsi="仿宋_GB2312" w:cs="仿宋_GB2312" w:eastAsia="仿宋_GB2312"/>
        </w:rPr>
        <w:t>10、中小企业声明函：本项目专门面向中小企业采购，仅限符合《政府采购促进中小企业发展管理办法》（ 财库〔2020〕46号）条件的中小企业参与，提供中小企业声明函（残疾人福利性单位、监狱企业视同小、微企业）。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西安市黑河水源地环境保护管理总站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西安市周至县马召镇武家庄村金盆水库大坝交通桥西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西安市黑河水源地环境保护管理总站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029-85108510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建信众诚工程咨询有限公司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陕西省西安市雁塔区南二环西段208号捷瑞智能大厦东区9楼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雷芳娟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18802907639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采购包1：382,000.00元</w:t>
            </w:r>
          </w:p>
          <w:p>
            <w:pPr>
              <w:pStyle w:val="null3"/>
            </w:pPr>
            <w:r>
              <w:rPr>
                <w:rFonts w:ascii="仿宋_GB2312" w:hAnsi="仿宋_GB2312" w:cs="仿宋_GB2312" w:eastAsia="仿宋_GB2312"/>
              </w:rPr>
              <w:t>采购包2：187,000.00元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各采购包中标价为基数，参照国家计委关于印发《招标代理服务收费管理暂行办法》的通知（计价格[2002]1980号）和发改办价格[2003]857号规定（不足伍仟元的按伍仟元计取），由各采购包中标人在领取中标通知书时向代理机构缴纳代理服务费。招标代理服务费采用现金、电汇或银行转账方式交纳，不得采用投标保证金抵扣。</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西安市黑河水源地环境保护管理总站</w:t>
      </w:r>
      <w:r>
        <w:rPr>
          <w:rFonts w:ascii="仿宋_GB2312" w:hAnsi="仿宋_GB2312" w:cs="仿宋_GB2312" w:eastAsia="仿宋_GB2312"/>
        </w:rPr>
        <w:t>和</w:t>
      </w:r>
      <w:r>
        <w:rPr>
          <w:rFonts w:ascii="仿宋_GB2312" w:hAnsi="仿宋_GB2312" w:cs="仿宋_GB2312" w:eastAsia="仿宋_GB2312"/>
        </w:rPr>
        <w:t>建信众诚工程咨询有限公司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西安市黑河水源地环境保护管理总站</w:t>
      </w:r>
      <w:r>
        <w:rPr>
          <w:rFonts w:ascii="仿宋_GB2312" w:hAnsi="仿宋_GB2312" w:cs="仿宋_GB2312" w:eastAsia="仿宋_GB2312"/>
        </w:rPr>
        <w:t>负责解释。除上述磋商文件内容，其他内容由</w:t>
      </w:r>
      <w:r>
        <w:rPr>
          <w:rFonts w:ascii="仿宋_GB2312" w:hAnsi="仿宋_GB2312" w:cs="仿宋_GB2312" w:eastAsia="仿宋_GB2312"/>
        </w:rPr>
        <w:t>建信众诚工程咨询有限公司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西安市黑河水源地环境保护管理总站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建信众诚工程咨询有限公司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符合现行国家、行业“合格”标准，符合采购人要求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符合现行国家、行业“合格”标准，符合采购人要求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联系人：雷芳娟</w:t>
      </w:r>
    </w:p>
    <w:p>
      <w:pPr>
        <w:pStyle w:val="null3"/>
      </w:pPr>
      <w:r>
        <w:rPr>
          <w:rFonts w:ascii="仿宋_GB2312" w:hAnsi="仿宋_GB2312" w:cs="仿宋_GB2312" w:eastAsia="仿宋_GB2312"/>
        </w:rPr>
        <w:t>联系电话：18802907639</w:t>
      </w:r>
    </w:p>
    <w:p>
      <w:pPr>
        <w:pStyle w:val="null3"/>
      </w:pPr>
      <w:r>
        <w:rPr>
          <w:rFonts w:ascii="仿宋_GB2312" w:hAnsi="仿宋_GB2312" w:cs="仿宋_GB2312" w:eastAsia="仿宋_GB2312"/>
        </w:rPr>
        <w:t>地址：陕西省西安市雁塔区南二环西段208号捷瑞智能大厦东区9楼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本项目主要针对黑河水源地视频监控运行维护及黑河环保总站及分站污水处理系统运行维护</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382,000.00</w:t>
      </w:r>
    </w:p>
    <w:p>
      <w:pPr>
        <w:pStyle w:val="null3"/>
      </w:pPr>
      <w:r>
        <w:rPr>
          <w:rFonts w:ascii="仿宋_GB2312" w:hAnsi="仿宋_GB2312" w:cs="仿宋_GB2312" w:eastAsia="仿宋_GB2312"/>
        </w:rPr>
        <w:t>采购包最高限价（元）: 382,000.00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382000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382,000.00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187,000.00</w:t>
      </w:r>
    </w:p>
    <w:p>
      <w:pPr>
        <w:pStyle w:val="null3"/>
      </w:pPr>
      <w:r>
        <w:rPr>
          <w:rFonts w:ascii="仿宋_GB2312" w:hAnsi="仿宋_GB2312" w:cs="仿宋_GB2312" w:eastAsia="仿宋_GB2312"/>
        </w:rPr>
        <w:t>采购包最高限价（元）: 187,000.00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187000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187,000.00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标的名称：382000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20"/>
              <w:jc w:val="both"/>
            </w:pPr>
            <w:r>
              <w:rPr>
                <w:rFonts w:ascii="仿宋_GB2312" w:hAnsi="仿宋_GB2312" w:cs="仿宋_GB2312" w:eastAsia="仿宋_GB2312"/>
                <w:sz w:val="24"/>
                <w:b/>
              </w:rPr>
              <w:t>一、项目概况</w:t>
            </w:r>
          </w:p>
          <w:p>
            <w:pPr>
              <w:pStyle w:val="null3"/>
              <w:ind w:firstLine="480"/>
              <w:jc w:val="left"/>
            </w:pPr>
            <w:r>
              <w:rPr>
                <w:rFonts w:ascii="仿宋_GB2312" w:hAnsi="仿宋_GB2312" w:cs="仿宋_GB2312" w:eastAsia="仿宋_GB2312"/>
                <w:sz w:val="24"/>
              </w:rPr>
              <w:t>黑河水源地是西安市重要的水源地</w:t>
            </w:r>
            <w:r>
              <w:rPr>
                <w:rFonts w:ascii="仿宋_GB2312" w:hAnsi="仿宋_GB2312" w:cs="仿宋_GB2312" w:eastAsia="仿宋_GB2312"/>
                <w:sz w:val="24"/>
              </w:rPr>
              <w:t>，</w:t>
            </w:r>
            <w:r>
              <w:rPr>
                <w:rFonts w:ascii="仿宋_GB2312" w:hAnsi="仿宋_GB2312" w:cs="仿宋_GB2312" w:eastAsia="仿宋_GB2312"/>
                <w:sz w:val="24"/>
              </w:rPr>
              <w:t>黑河水源地预警系统是保护饮用水源的重要手段之一。项目地处秦岭山区，监控站点分布在沿水源地纵深约</w:t>
            </w:r>
            <w:r>
              <w:rPr>
                <w:rFonts w:ascii="仿宋_GB2312" w:hAnsi="仿宋_GB2312" w:cs="仿宋_GB2312" w:eastAsia="仿宋_GB2312"/>
                <w:sz w:val="24"/>
              </w:rPr>
              <w:t>100公里范围，通信中继站分布在平均海拔1500米以上秦岭山梁。设备地处野外，山区树木随季节生长，影响信号传输；受大风、雷雨、雪冰、滑坡、落石等自然条件影响，系统运行的设备、线路、信号、供电等工作要素有不同程度的损伤、老化、磨损。建立系统运行维护机制是保证系统正常运行必要措施，对系统运行各环节定期保养、检修、维护，使系统设备工作寿命延长、节约资源、发挥更大的工作经济效益，更好的服务于水源地监控保护工作</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项目一期、二期系统分别于</w:t>
            </w:r>
            <w:r>
              <w:rPr>
                <w:rFonts w:ascii="仿宋_GB2312" w:hAnsi="仿宋_GB2312" w:cs="仿宋_GB2312" w:eastAsia="仿宋_GB2312"/>
                <w:sz w:val="24"/>
              </w:rPr>
              <w:t>2010年、2012年全部建成，2018年进行项目扩建升级并投入运行。项目区域：沿黑河水源地流域陈河、王家河、沙梁子、板房子、厚畛子、秦岭梁处，设有山顶10处中继站、水源监控站点25处，广播站10处，详见点位分布表。</w:t>
            </w:r>
            <w:r>
              <w:br/>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left="420"/>
              <w:jc w:val="both"/>
            </w:pPr>
            <w:r>
              <w:rPr>
                <w:rFonts w:ascii="仿宋_GB2312" w:hAnsi="仿宋_GB2312" w:cs="仿宋_GB2312" w:eastAsia="仿宋_GB2312"/>
                <w:sz w:val="24"/>
                <w:b/>
              </w:rPr>
              <w:t>二、服务内容（包括工作区域、工作内容等）</w:t>
            </w:r>
          </w:p>
          <w:p>
            <w:pPr>
              <w:pStyle w:val="null3"/>
              <w:ind w:left="285"/>
              <w:jc w:val="both"/>
              <w:outlineLvl w:val="2"/>
            </w:pPr>
            <w:r>
              <w:rPr>
                <w:rFonts w:ascii="仿宋_GB2312" w:hAnsi="仿宋_GB2312" w:cs="仿宋_GB2312" w:eastAsia="仿宋_GB2312"/>
                <w:sz w:val="24"/>
                <w:b/>
              </w:rPr>
              <w:t>1、运维</w:t>
            </w:r>
            <w:r>
              <w:rPr>
                <w:rFonts w:ascii="仿宋_GB2312" w:hAnsi="仿宋_GB2312" w:cs="仿宋_GB2312" w:eastAsia="仿宋_GB2312"/>
                <w:sz w:val="24"/>
                <w:b/>
              </w:rPr>
              <w:t>工作区域</w:t>
            </w:r>
          </w:p>
          <w:p>
            <w:pPr>
              <w:pStyle w:val="null3"/>
              <w:ind w:left="285"/>
              <w:jc w:val="both"/>
              <w:outlineLvl w:val="2"/>
            </w:pPr>
            <w:r>
              <w:rPr>
                <w:rFonts w:ascii="仿宋_GB2312" w:hAnsi="仿宋_GB2312" w:cs="仿宋_GB2312" w:eastAsia="仿宋_GB2312"/>
                <w:sz w:val="24"/>
                <w:b/>
              </w:rPr>
              <w:t>1.1、通信中继站点位</w:t>
            </w:r>
          </w:p>
          <w:tbl>
            <w:tblPr>
              <w:tblInd w:type="dxa" w:w="105"/>
              <w:tblBorders>
                <w:top w:val="none" w:color="000000" w:sz="4"/>
                <w:left w:val="none" w:color="000000" w:sz="4"/>
                <w:bottom w:val="none" w:color="000000" w:sz="4"/>
                <w:right w:val="none" w:color="000000" w:sz="4"/>
                <w:insideH w:val="none"/>
                <w:insideV w:val="none"/>
              </w:tblBorders>
            </w:tblPr>
            <w:tblGrid>
              <w:gridCol w:w="298"/>
              <w:gridCol w:w="672"/>
              <w:gridCol w:w="631"/>
              <w:gridCol w:w="952"/>
            </w:tblGrid>
            <w:tr>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中继站</w:t>
                  </w:r>
                </w:p>
              </w:tc>
              <w:tc>
                <w:tcPr>
                  <w:tcW w:type="dxa" w:w="6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海拔</w:t>
                  </w:r>
                </w:p>
              </w:tc>
              <w:tc>
                <w:tcPr>
                  <w:tcW w:type="dxa" w:w="9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作业区域</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1号中继</w:t>
                  </w:r>
                </w:p>
              </w:tc>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1100米</w:t>
                  </w: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原始高山区域</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2号中继</w:t>
                  </w:r>
                </w:p>
              </w:tc>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1290米</w:t>
                  </w: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原始高山区域</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3号中继</w:t>
                  </w:r>
                </w:p>
              </w:tc>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1550米</w:t>
                  </w: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原始高山区域</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5号中继</w:t>
                  </w:r>
                </w:p>
              </w:tc>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1200米</w:t>
                  </w: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原始高山区域</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6号中继</w:t>
                  </w:r>
                </w:p>
              </w:tc>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1000米</w:t>
                  </w: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原始高山区域</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31号中继</w:t>
                  </w:r>
                </w:p>
              </w:tc>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1690米</w:t>
                  </w: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原始高山区域</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32号中继</w:t>
                  </w:r>
                </w:p>
              </w:tc>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1999米</w:t>
                  </w: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原始高山区域</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7号中继</w:t>
                  </w:r>
                </w:p>
              </w:tc>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2023米</w:t>
                  </w: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原始高山区域</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9号中继</w:t>
                  </w:r>
                </w:p>
              </w:tc>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1790米</w:t>
                  </w: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原始高山区域</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32号分支中继</w:t>
                  </w:r>
                </w:p>
              </w:tc>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750米</w:t>
                  </w: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原始高山区域</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总接入</w:t>
                  </w:r>
                </w:p>
              </w:tc>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总站院子</w:t>
                  </w: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常规区域</w:t>
                  </w:r>
                </w:p>
              </w:tc>
            </w:tr>
          </w:tbl>
          <w:p>
            <w:pPr>
              <w:pStyle w:val="null3"/>
              <w:jc w:val="both"/>
            </w:pPr>
            <w:r>
              <w:rPr>
                <w:rFonts w:ascii="仿宋_GB2312" w:hAnsi="仿宋_GB2312" w:cs="仿宋_GB2312" w:eastAsia="仿宋_GB2312"/>
                <w:sz w:val="24"/>
              </w:rPr>
              <w:t>备注说明：中继站设施包括太阳能供电系统、基础立杆与支架、避雷设施、监测系统、通信设备等。所处区域为原始森林无路，器材设备搬运时需修便道。</w:t>
            </w:r>
          </w:p>
          <w:p>
            <w:pPr>
              <w:pStyle w:val="null3"/>
              <w:ind w:left="285"/>
              <w:jc w:val="both"/>
              <w:outlineLvl w:val="2"/>
            </w:pPr>
            <w:r>
              <w:rPr>
                <w:rFonts w:ascii="仿宋_GB2312" w:hAnsi="仿宋_GB2312" w:cs="仿宋_GB2312" w:eastAsia="仿宋_GB2312"/>
                <w:sz w:val="24"/>
                <w:b/>
              </w:rPr>
              <w:t>1.2、监控站点位</w:t>
            </w:r>
          </w:p>
          <w:tbl>
            <w:tblPr>
              <w:tblInd w:type="dxa" w:w="105"/>
              <w:tblBorders>
                <w:top w:val="none" w:color="000000" w:sz="4"/>
                <w:left w:val="none" w:color="000000" w:sz="4"/>
                <w:bottom w:val="none" w:color="000000" w:sz="4"/>
                <w:right w:val="none" w:color="000000" w:sz="4"/>
                <w:insideH w:val="none"/>
                <w:insideV w:val="none"/>
              </w:tblBorders>
            </w:tblPr>
            <w:tblGrid>
              <w:gridCol w:w="433"/>
              <w:gridCol w:w="898"/>
              <w:gridCol w:w="1222"/>
            </w:tblGrid>
            <w:tr>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8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监控点位名称</w:t>
                  </w:r>
                </w:p>
              </w:tc>
              <w:tc>
                <w:tcPr>
                  <w:tcW w:type="dxa" w:w="1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安装地点</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取水口</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大坝上</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车车沟</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S108 14KM处</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16KM</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S108 16KM处</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铁塔</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S108 18KM处</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观景台</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S108 19KM处</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甘峪湾</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S108 20KM处</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22KM</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S108 22KM处</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25KM</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S108 25KM处</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26KM</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S108 26KM处</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1401路牌</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S108 27KM处</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32KM</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S108 32KM处</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陈河河道</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陈河乡政府</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清水河</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S108 54KM处</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水苑山庄</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S108 58KM处</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沙梁子桥头</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S108 61KM处</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红旗桥</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S108 70KM处</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金矿</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S108 73KM处</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板房子</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S108 83KM处</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沙梁子水电站</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距离总站</w:t>
                  </w:r>
                  <w:r>
                    <w:rPr>
                      <w:rFonts w:ascii="仿宋_GB2312" w:hAnsi="仿宋_GB2312" w:cs="仿宋_GB2312" w:eastAsia="仿宋_GB2312"/>
                      <w:sz w:val="24"/>
                    </w:rPr>
                    <w:t>63公里</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黑龙潭</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距离总站</w:t>
                  </w:r>
                  <w:r>
                    <w:rPr>
                      <w:rFonts w:ascii="仿宋_GB2312" w:hAnsi="仿宋_GB2312" w:cs="仿宋_GB2312" w:eastAsia="仿宋_GB2312"/>
                      <w:sz w:val="24"/>
                    </w:rPr>
                    <w:t>70公里</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一线天</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距离总站</w:t>
                  </w:r>
                  <w:r>
                    <w:rPr>
                      <w:rFonts w:ascii="仿宋_GB2312" w:hAnsi="仿宋_GB2312" w:cs="仿宋_GB2312" w:eastAsia="仿宋_GB2312"/>
                      <w:sz w:val="24"/>
                    </w:rPr>
                    <w:t>75公里</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花耳坪</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距离总站</w:t>
                  </w:r>
                  <w:r>
                    <w:rPr>
                      <w:rFonts w:ascii="仿宋_GB2312" w:hAnsi="仿宋_GB2312" w:cs="仿宋_GB2312" w:eastAsia="仿宋_GB2312"/>
                      <w:sz w:val="24"/>
                    </w:rPr>
                    <w:t>85公里</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厚畛子监测站</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距离总站</w:t>
                  </w:r>
                  <w:r>
                    <w:rPr>
                      <w:rFonts w:ascii="仿宋_GB2312" w:hAnsi="仿宋_GB2312" w:cs="仿宋_GB2312" w:eastAsia="仿宋_GB2312"/>
                      <w:sz w:val="24"/>
                    </w:rPr>
                    <w:t>89公里</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陈河分站</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陈河分站院内</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沙梁子分站</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沙梁子分站院内</w:t>
                  </w:r>
                </w:p>
              </w:tc>
            </w:tr>
          </w:tbl>
          <w:p>
            <w:pPr>
              <w:pStyle w:val="null3"/>
              <w:jc w:val="left"/>
            </w:pPr>
            <w:r>
              <w:rPr>
                <w:rFonts w:ascii="仿宋_GB2312" w:hAnsi="仿宋_GB2312" w:cs="仿宋_GB2312" w:eastAsia="仿宋_GB2312"/>
                <w:sz w:val="24"/>
              </w:rPr>
              <w:t>备注：监控站设施包括太阳能供电系统、</w:t>
            </w:r>
            <w:r>
              <w:rPr>
                <w:rFonts w:ascii="仿宋_GB2312" w:hAnsi="仿宋_GB2312" w:cs="仿宋_GB2312" w:eastAsia="仿宋_GB2312"/>
                <w:sz w:val="24"/>
              </w:rPr>
              <w:t>基础立杆与支架</w:t>
            </w:r>
            <w:r>
              <w:rPr>
                <w:rFonts w:ascii="仿宋_GB2312" w:hAnsi="仿宋_GB2312" w:cs="仿宋_GB2312" w:eastAsia="仿宋_GB2312"/>
                <w:sz w:val="24"/>
              </w:rPr>
              <w:t>、喊话广播、智能摄像机、通信设备、监测软件等。</w:t>
            </w:r>
          </w:p>
          <w:p>
            <w:pPr>
              <w:pStyle w:val="null3"/>
              <w:ind w:left="285"/>
              <w:jc w:val="both"/>
              <w:outlineLvl w:val="2"/>
            </w:pPr>
            <w:r>
              <w:rPr>
                <w:rFonts w:ascii="仿宋_GB2312" w:hAnsi="仿宋_GB2312" w:cs="仿宋_GB2312" w:eastAsia="仿宋_GB2312"/>
                <w:sz w:val="24"/>
                <w:b/>
              </w:rPr>
              <w:t>1.3、广播站站点</w:t>
            </w:r>
          </w:p>
          <w:tbl>
            <w:tblPr>
              <w:tblInd w:type="dxa" w:w="75"/>
              <w:tblBorders>
                <w:top w:val="none" w:color="000000" w:sz="4"/>
                <w:left w:val="none" w:color="000000" w:sz="4"/>
                <w:bottom w:val="none" w:color="000000" w:sz="4"/>
                <w:right w:val="none" w:color="000000" w:sz="4"/>
                <w:insideH w:val="none"/>
                <w:insideV w:val="none"/>
              </w:tblBorders>
            </w:tblPr>
            <w:tblGrid>
              <w:gridCol w:w="357"/>
              <w:gridCol w:w="1039"/>
              <w:gridCol w:w="1157"/>
            </w:tblGrid>
            <w:tr>
              <w:tc>
                <w:tcPr>
                  <w:tcW w:type="dxa" w:w="3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0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广播站点</w:t>
                  </w:r>
                </w:p>
              </w:tc>
              <w:tc>
                <w:tcPr>
                  <w:tcW w:type="dxa" w:w="1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安装位置</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观景台</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S108 20公里</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观景台</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S108 21公里</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铁塔</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S108 18公里</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陈河河道</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S108 33公里</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水源山庄</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S108 58公里</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黑龙潭</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距离马召</w:t>
                  </w:r>
                  <w:r>
                    <w:rPr>
                      <w:rFonts w:ascii="仿宋_GB2312" w:hAnsi="仿宋_GB2312" w:cs="仿宋_GB2312" w:eastAsia="仿宋_GB2312"/>
                      <w:sz w:val="24"/>
                    </w:rPr>
                    <w:t>70公里</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一线天</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距离马召</w:t>
                  </w:r>
                  <w:r>
                    <w:rPr>
                      <w:rFonts w:ascii="仿宋_GB2312" w:hAnsi="仿宋_GB2312" w:cs="仿宋_GB2312" w:eastAsia="仿宋_GB2312"/>
                      <w:sz w:val="24"/>
                    </w:rPr>
                    <w:t>75公里</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两河口</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距离马召</w:t>
                  </w:r>
                  <w:r>
                    <w:rPr>
                      <w:rFonts w:ascii="仿宋_GB2312" w:hAnsi="仿宋_GB2312" w:cs="仿宋_GB2312" w:eastAsia="仿宋_GB2312"/>
                      <w:sz w:val="24"/>
                    </w:rPr>
                    <w:t>80公里</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花耳坪</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距离马召</w:t>
                  </w:r>
                  <w:r>
                    <w:rPr>
                      <w:rFonts w:ascii="仿宋_GB2312" w:hAnsi="仿宋_GB2312" w:cs="仿宋_GB2312" w:eastAsia="仿宋_GB2312"/>
                      <w:sz w:val="24"/>
                    </w:rPr>
                    <w:t>85公里</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秦岭界</w:t>
                  </w:r>
                </w:p>
              </w:tc>
              <w:tc>
                <w:tcPr>
                  <w:tcW w:type="dxa" w:w="1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距离马召</w:t>
                  </w:r>
                  <w:r>
                    <w:rPr>
                      <w:rFonts w:ascii="仿宋_GB2312" w:hAnsi="仿宋_GB2312" w:cs="仿宋_GB2312" w:eastAsia="仿宋_GB2312"/>
                      <w:sz w:val="24"/>
                    </w:rPr>
                    <w:t>92公里</w:t>
                  </w:r>
                </w:p>
              </w:tc>
            </w:tr>
          </w:tbl>
          <w:p>
            <w:pPr>
              <w:pStyle w:val="null3"/>
              <w:jc w:val="left"/>
            </w:pPr>
            <w:r>
              <w:rPr>
                <w:rFonts w:ascii="仿宋_GB2312" w:hAnsi="仿宋_GB2312" w:cs="仿宋_GB2312" w:eastAsia="仿宋_GB2312"/>
                <w:sz w:val="24"/>
              </w:rPr>
              <w:t>包括：太能阳电池板、控制器、电池、立杆、广播及音频传输、线路等。</w:t>
            </w:r>
          </w:p>
          <w:p>
            <w:pPr>
              <w:pStyle w:val="null3"/>
              <w:ind w:left="285"/>
              <w:jc w:val="both"/>
              <w:outlineLvl w:val="2"/>
            </w:pPr>
            <w:r>
              <w:rPr>
                <w:rFonts w:ascii="仿宋_GB2312" w:hAnsi="仿宋_GB2312" w:cs="仿宋_GB2312" w:eastAsia="仿宋_GB2312"/>
                <w:sz w:val="24"/>
                <w:b/>
              </w:rPr>
              <w:t>1.4、监控中心</w:t>
            </w:r>
          </w:p>
          <w:tbl>
            <w:tblPr>
              <w:tblInd w:type="dxa" w:w="120"/>
              <w:tblBorders>
                <w:top w:val="none" w:color="000000" w:sz="4"/>
                <w:left w:val="none" w:color="000000" w:sz="4"/>
                <w:bottom w:val="none" w:color="000000" w:sz="4"/>
                <w:right w:val="none" w:color="000000" w:sz="4"/>
                <w:insideH w:val="none"/>
                <w:insideV w:val="none"/>
              </w:tblBorders>
            </w:tblPr>
            <w:tblGrid>
              <w:gridCol w:w="280"/>
              <w:gridCol w:w="501"/>
              <w:gridCol w:w="998"/>
              <w:gridCol w:w="284"/>
              <w:gridCol w:w="483"/>
            </w:tblGrid>
            <w:tr>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5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9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参数说明</w:t>
                  </w:r>
                </w:p>
              </w:tc>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4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软件系统</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系统管理、视频管理、录像管理、车辆管理、远程监测等</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1项</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软件及配置</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客户端</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工作站</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软件及配置</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存储服务器</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服务器及配套</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软件及配置</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网络数字硬盘录像机</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硬盘录像机及配套设备</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软件、硬件</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交换机</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24口千兆+光口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软件及配置</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控制系统软件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视频管理、系统管理</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UPS系统</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3KVA</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UPS主机、UPS配电、电池柜</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办公楼内系统设备及软件服务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包括接收设备、总站办公楼院内监控系统</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1项</w:t>
                  </w:r>
                </w:p>
              </w:tc>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r>
          </w:tbl>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ind w:left="570"/>
              <w:outlineLvl w:val="1"/>
            </w:pPr>
            <w:r>
              <w:rPr>
                <w:rFonts w:ascii="仿宋_GB2312" w:hAnsi="仿宋_GB2312" w:cs="仿宋_GB2312" w:eastAsia="仿宋_GB2312"/>
                <w:sz w:val="24"/>
                <w:b/>
              </w:rPr>
              <w:t>三、运维工作内容</w:t>
            </w:r>
          </w:p>
          <w:tbl>
            <w:tblPr>
              <w:tblInd w:type="dxa" w:w="15"/>
              <w:tblBorders>
                <w:top w:val="none" w:color="000000" w:sz="4"/>
                <w:left w:val="none" w:color="000000" w:sz="4"/>
                <w:bottom w:val="none" w:color="000000" w:sz="4"/>
                <w:right w:val="none" w:color="000000" w:sz="4"/>
                <w:insideH w:val="none"/>
                <w:insideV w:val="none"/>
              </w:tblBorders>
            </w:tblPr>
            <w:tblGrid>
              <w:gridCol w:w="246"/>
              <w:gridCol w:w="2301"/>
            </w:tblGrid>
            <w:tr>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3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2"/>
                    <w:jc w:val="center"/>
                  </w:pPr>
                  <w:r>
                    <w:rPr>
                      <w:rFonts w:ascii="仿宋_GB2312" w:hAnsi="仿宋_GB2312" w:cs="仿宋_GB2312" w:eastAsia="仿宋_GB2312"/>
                      <w:sz w:val="24"/>
                      <w:color w:val="000000"/>
                    </w:rPr>
                    <w:t>服务内容</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提供现场巡检：对网络通信类设备告警信息及日志查询和诊断、系统配置参数校对、信噪比、风扇运行状态检查、设备运行状态检查、基础环境温湿度检查、太阳能板支架</w:t>
                  </w:r>
                  <w:r>
                    <w:rPr>
                      <w:rFonts w:ascii="仿宋_GB2312" w:hAnsi="仿宋_GB2312" w:cs="仿宋_GB2312" w:eastAsia="仿宋_GB2312"/>
                      <w:sz w:val="24"/>
                    </w:rPr>
                    <w:t>/立杆强度检查、避雷接地防水性能检查等服务;巡检过程中发现有故障设备,可及时进行备件更换、恢复业务。</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供实时监测：提供设备运行状态指标、传输网络拓扑连通性、出口带宽、信号强度、数据转发速率、设备温度、设备硬件资源占用情况、太阳能系统电压、电流、充电、放电、电池容量、负载等性能指标的实时监测服务。</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提供维护保养服务：无线基站设备巡检，日常设备保养维修工作，内容包括：提供各类设备的清洁及养护服务。如：太阳能板表面除尘</w:t>
                  </w:r>
                  <w:r>
                    <w:rPr>
                      <w:rFonts w:ascii="仿宋_GB2312" w:hAnsi="仿宋_GB2312" w:cs="仿宋_GB2312" w:eastAsia="仿宋_GB2312"/>
                      <w:sz w:val="24"/>
                    </w:rPr>
                    <w:t>/除雪/遮挡；设备箱体内部灰尘清理；电缆接头防水胶带更换等。</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提供清缴设备电费</w:t>
                  </w:r>
                  <w:r>
                    <w:rPr>
                      <w:rFonts w:ascii="仿宋_GB2312" w:hAnsi="仿宋_GB2312" w:cs="仿宋_GB2312" w:eastAsia="仿宋_GB2312"/>
                      <w:sz w:val="24"/>
                    </w:rPr>
                    <w:t>（陈河河道、</w:t>
                  </w:r>
                  <w:r>
                    <w:rPr>
                      <w:rFonts w:ascii="仿宋_GB2312" w:hAnsi="仿宋_GB2312" w:cs="仿宋_GB2312" w:eastAsia="仿宋_GB2312"/>
                      <w:sz w:val="24"/>
                    </w:rPr>
                    <w:t>58公里、沙梁子处）包含电力设施及线路检修、配件线缆服务。光缆线路的测试、维护等。</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提供故障排查与备品备件：储备设备备品备件与现有系统设备一致，保证无缝衔接，系统正常运转，免费更换设备。</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技术服务（</w:t>
                  </w:r>
                  <w:r>
                    <w:rPr>
                      <w:rFonts w:ascii="仿宋_GB2312" w:hAnsi="仿宋_GB2312" w:cs="仿宋_GB2312" w:eastAsia="仿宋_GB2312"/>
                      <w:sz w:val="24"/>
                      <w:color w:val="000000"/>
                    </w:rPr>
                    <w:t>集中监测、固件升级、</w:t>
                  </w:r>
                  <w:r>
                    <w:rPr>
                      <w:rFonts w:ascii="仿宋_GB2312" w:hAnsi="仿宋_GB2312" w:cs="仿宋_GB2312" w:eastAsia="仿宋_GB2312"/>
                      <w:sz w:val="24"/>
                      <w:color w:val="000000"/>
                    </w:rPr>
                    <w:t>系统升级、数据备份</w:t>
                  </w:r>
                  <w:r>
                    <w:rPr>
                      <w:rFonts w:ascii="仿宋_GB2312" w:hAnsi="仿宋_GB2312" w:cs="仿宋_GB2312" w:eastAsia="仿宋_GB2312"/>
                      <w:sz w:val="24"/>
                      <w:color w:val="000000"/>
                    </w:rPr>
                    <w:t>及数据安全配置、系统部署、系统培训等</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tc>
            </w:tr>
            <w:tr>
              <w:tc>
                <w:tcPr>
                  <w:tcW w:type="dxa" w:w="246"/>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30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安全措施费（野外防护用具</w:t>
                  </w:r>
                  <w:r>
                    <w:rPr>
                      <w:rFonts w:ascii="仿宋_GB2312" w:hAnsi="仿宋_GB2312" w:cs="仿宋_GB2312" w:eastAsia="仿宋_GB2312"/>
                      <w:sz w:val="24"/>
                      <w:color w:val="000000"/>
                    </w:rPr>
                    <w:t>及测量</w:t>
                  </w:r>
                  <w:r>
                    <w:rPr>
                      <w:rFonts w:ascii="仿宋_GB2312" w:hAnsi="仿宋_GB2312" w:cs="仿宋_GB2312" w:eastAsia="仿宋_GB2312"/>
                      <w:sz w:val="24"/>
                      <w:color w:val="000000"/>
                    </w:rPr>
                    <w:t>、</w:t>
                  </w:r>
                  <w:r>
                    <w:rPr>
                      <w:rFonts w:ascii="仿宋_GB2312" w:hAnsi="仿宋_GB2312" w:cs="仿宋_GB2312" w:eastAsia="仿宋_GB2312"/>
                      <w:sz w:val="24"/>
                      <w:color w:val="000000"/>
                    </w:rPr>
                    <w:t>劳动保护用品、</w:t>
                  </w:r>
                  <w:r>
                    <w:rPr>
                      <w:rFonts w:ascii="仿宋_GB2312" w:hAnsi="仿宋_GB2312" w:cs="仿宋_GB2312" w:eastAsia="仿宋_GB2312"/>
                      <w:sz w:val="24"/>
                      <w:color w:val="000000"/>
                    </w:rPr>
                    <w:t>人员保险</w:t>
                  </w:r>
                  <w:r>
                    <w:rPr>
                      <w:rFonts w:ascii="仿宋_GB2312" w:hAnsi="仿宋_GB2312" w:cs="仿宋_GB2312" w:eastAsia="仿宋_GB2312"/>
                      <w:sz w:val="24"/>
                      <w:color w:val="000000"/>
                    </w:rPr>
                    <w:t>、</w:t>
                  </w:r>
                  <w:r>
                    <w:rPr>
                      <w:rFonts w:ascii="仿宋_GB2312" w:hAnsi="仿宋_GB2312" w:cs="仿宋_GB2312" w:eastAsia="仿宋_GB2312"/>
                      <w:sz w:val="24"/>
                      <w:color w:val="000000"/>
                    </w:rPr>
                    <w:t>专用工具</w:t>
                  </w:r>
                  <w:r>
                    <w:rPr>
                      <w:rFonts w:ascii="仿宋_GB2312" w:hAnsi="仿宋_GB2312" w:cs="仿宋_GB2312" w:eastAsia="仿宋_GB2312"/>
                      <w:sz w:val="24"/>
                      <w:color w:val="000000"/>
                    </w:rPr>
                    <w:t>等）</w:t>
                  </w:r>
                </w:p>
              </w:tc>
            </w:tr>
            <w:tr>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3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提供运维服务报告（月、季、年）巡检报告及总结，优化改进建议等</w:t>
                  </w:r>
                </w:p>
              </w:tc>
            </w:tr>
          </w:tbl>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ind w:left="420"/>
              <w:jc w:val="both"/>
            </w:pPr>
            <w:r>
              <w:rPr>
                <w:rFonts w:ascii="仿宋_GB2312" w:hAnsi="仿宋_GB2312" w:cs="仿宋_GB2312" w:eastAsia="仿宋_GB2312"/>
                <w:sz w:val="24"/>
                <w:b/>
              </w:rPr>
              <w:t>四</w:t>
            </w:r>
            <w:r>
              <w:rPr>
                <w:rFonts w:ascii="仿宋_GB2312" w:hAnsi="仿宋_GB2312" w:cs="仿宋_GB2312" w:eastAsia="仿宋_GB2312"/>
                <w:sz w:val="24"/>
                <w:b/>
              </w:rPr>
              <w:t>、服务要求</w:t>
            </w:r>
          </w:p>
          <w:p>
            <w:pPr>
              <w:pStyle w:val="null3"/>
            </w:pPr>
            <w:r>
              <w:rPr>
                <w:rFonts w:ascii="仿宋_GB2312" w:hAnsi="仿宋_GB2312" w:cs="仿宋_GB2312" w:eastAsia="仿宋_GB2312"/>
                <w:sz w:val="24"/>
              </w:rPr>
              <w:t>1、维护器具</w:t>
            </w:r>
            <w:r>
              <w:rPr>
                <w:rFonts w:ascii="仿宋_GB2312" w:hAnsi="仿宋_GB2312" w:cs="仿宋_GB2312" w:eastAsia="仿宋_GB2312"/>
                <w:sz w:val="24"/>
              </w:rPr>
              <w:t>要求：</w:t>
            </w:r>
          </w:p>
          <w:p>
            <w:pPr>
              <w:pStyle w:val="null3"/>
            </w:pPr>
            <w:r>
              <w:rPr>
                <w:rFonts w:ascii="仿宋_GB2312" w:hAnsi="仿宋_GB2312" w:cs="仿宋_GB2312" w:eastAsia="仿宋_GB2312"/>
                <w:sz w:val="24"/>
              </w:rPr>
              <w:t>具备开展维护</w:t>
            </w:r>
            <w:r>
              <w:rPr>
                <w:rFonts w:ascii="仿宋_GB2312" w:hAnsi="仿宋_GB2312" w:cs="仿宋_GB2312" w:eastAsia="仿宋_GB2312"/>
                <w:sz w:val="24"/>
              </w:rPr>
              <w:t>工作</w:t>
            </w:r>
            <w:r>
              <w:rPr>
                <w:rFonts w:ascii="仿宋_GB2312" w:hAnsi="仿宋_GB2312" w:cs="仿宋_GB2312" w:eastAsia="仿宋_GB2312"/>
                <w:sz w:val="24"/>
              </w:rPr>
              <w:t>必要的车辆、</w:t>
            </w:r>
            <w:r>
              <w:rPr>
                <w:rFonts w:ascii="仿宋_GB2312" w:hAnsi="仿宋_GB2312" w:cs="仿宋_GB2312" w:eastAsia="仿宋_GB2312"/>
                <w:sz w:val="24"/>
              </w:rPr>
              <w:t>机具</w:t>
            </w:r>
            <w:r>
              <w:rPr>
                <w:rFonts w:ascii="仿宋_GB2312" w:hAnsi="仿宋_GB2312" w:cs="仿宋_GB2312" w:eastAsia="仿宋_GB2312"/>
                <w:sz w:val="24"/>
              </w:rPr>
              <w:t>、</w:t>
            </w:r>
            <w:r>
              <w:rPr>
                <w:rFonts w:ascii="仿宋_GB2312" w:hAnsi="仿宋_GB2312" w:cs="仿宋_GB2312" w:eastAsia="仿宋_GB2312"/>
                <w:sz w:val="24"/>
              </w:rPr>
              <w:t>各类</w:t>
            </w:r>
            <w:r>
              <w:rPr>
                <w:rFonts w:ascii="仿宋_GB2312" w:hAnsi="仿宋_GB2312" w:cs="仿宋_GB2312" w:eastAsia="仿宋_GB2312"/>
                <w:sz w:val="24"/>
              </w:rPr>
              <w:t>仪表等（所有各类维护工作人员，需购买相应的人身意外保险）。</w:t>
            </w:r>
          </w:p>
          <w:p>
            <w:pPr>
              <w:pStyle w:val="null3"/>
            </w:pPr>
            <w:r>
              <w:rPr>
                <w:rFonts w:ascii="仿宋_GB2312" w:hAnsi="仿宋_GB2312" w:cs="仿宋_GB2312" w:eastAsia="仿宋_GB2312"/>
                <w:sz w:val="24"/>
              </w:rPr>
              <w:t>2、</w:t>
            </w:r>
            <w:r>
              <w:rPr>
                <w:rFonts w:ascii="仿宋_GB2312" w:hAnsi="仿宋_GB2312" w:cs="仿宋_GB2312" w:eastAsia="仿宋_GB2312"/>
                <w:sz w:val="24"/>
              </w:rPr>
              <w:t>维护团队工作流程：</w:t>
            </w:r>
          </w:p>
          <w:p>
            <w:pPr>
              <w:pStyle w:val="null3"/>
              <w:ind w:firstLine="480"/>
            </w:pPr>
            <w:r>
              <w:rPr>
                <w:rFonts w:ascii="仿宋_GB2312" w:hAnsi="仿宋_GB2312" w:cs="仿宋_GB2312" w:eastAsia="仿宋_GB2312"/>
                <w:sz w:val="24"/>
              </w:rPr>
              <w:t>①维护团队每日对项目内的所有设备进行</w:t>
            </w:r>
            <w:r>
              <w:rPr>
                <w:rFonts w:ascii="仿宋_GB2312" w:hAnsi="仿宋_GB2312" w:cs="仿宋_GB2312" w:eastAsia="仿宋_GB2312"/>
                <w:sz w:val="24"/>
              </w:rPr>
              <w:t>运程</w:t>
            </w:r>
            <w:r>
              <w:rPr>
                <w:rFonts w:ascii="仿宋_GB2312" w:hAnsi="仿宋_GB2312" w:cs="仿宋_GB2312" w:eastAsia="仿宋_GB2312"/>
                <w:sz w:val="24"/>
              </w:rPr>
              <w:t>在线巡检，发现问题及时处理。接到使用人报修任务后，及时对所报故障进行处理，处理完成后将处理结果向后端维护人员汇报；</w:t>
            </w:r>
          </w:p>
          <w:p>
            <w:pPr>
              <w:pStyle w:val="null3"/>
              <w:ind w:firstLine="480"/>
            </w:pPr>
            <w:r>
              <w:rPr>
                <w:rFonts w:ascii="仿宋_GB2312" w:hAnsi="仿宋_GB2312" w:cs="仿宋_GB2312" w:eastAsia="仿宋_GB2312"/>
                <w:sz w:val="24"/>
              </w:rPr>
              <w:t>②有计划的对项目中每个点位</w:t>
            </w:r>
            <w:r>
              <w:rPr>
                <w:rFonts w:ascii="仿宋_GB2312" w:hAnsi="仿宋_GB2312" w:cs="仿宋_GB2312" w:eastAsia="仿宋_GB2312"/>
                <w:sz w:val="24"/>
              </w:rPr>
              <w:t>定期</w:t>
            </w:r>
            <w:r>
              <w:rPr>
                <w:rFonts w:ascii="仿宋_GB2312" w:hAnsi="仿宋_GB2312" w:cs="仿宋_GB2312" w:eastAsia="仿宋_GB2312"/>
                <w:sz w:val="24"/>
              </w:rPr>
              <w:t>进行巡检，巡检周期不能超过</w:t>
            </w:r>
            <w:r>
              <w:rPr>
                <w:rFonts w:ascii="仿宋_GB2312" w:hAnsi="仿宋_GB2312" w:cs="仿宋_GB2312" w:eastAsia="仿宋_GB2312"/>
                <w:sz w:val="24"/>
              </w:rPr>
              <w:t>1个月，并于当月月末及时将巡检内容以书面报告形式进行归档；</w:t>
            </w:r>
          </w:p>
          <w:p>
            <w:pPr>
              <w:pStyle w:val="null3"/>
              <w:ind w:firstLine="480"/>
            </w:pPr>
            <w:r>
              <w:rPr>
                <w:rFonts w:ascii="仿宋_GB2312" w:hAnsi="仿宋_GB2312" w:cs="仿宋_GB2312" w:eastAsia="仿宋_GB2312"/>
                <w:sz w:val="24"/>
              </w:rPr>
              <w:t>③维修设备时，需要影响站</w:t>
            </w:r>
            <w:r>
              <w:rPr>
                <w:rFonts w:ascii="仿宋_GB2312" w:hAnsi="仿宋_GB2312" w:cs="仿宋_GB2312" w:eastAsia="仿宋_GB2312"/>
                <w:sz w:val="24"/>
              </w:rPr>
              <w:t>内</w:t>
            </w:r>
            <w:r>
              <w:rPr>
                <w:rFonts w:ascii="仿宋_GB2312" w:hAnsi="仿宋_GB2312" w:cs="仿宋_GB2312" w:eastAsia="仿宋_GB2312"/>
                <w:sz w:val="24"/>
              </w:rPr>
              <w:t>业务的，需先向</w:t>
            </w:r>
            <w:r>
              <w:rPr>
                <w:rFonts w:ascii="仿宋_GB2312" w:hAnsi="仿宋_GB2312" w:cs="仿宋_GB2312" w:eastAsia="仿宋_GB2312"/>
                <w:sz w:val="24"/>
              </w:rPr>
              <w:t>总</w:t>
            </w:r>
            <w:r>
              <w:rPr>
                <w:rFonts w:ascii="仿宋_GB2312" w:hAnsi="仿宋_GB2312" w:cs="仿宋_GB2312" w:eastAsia="仿宋_GB2312"/>
                <w:sz w:val="24"/>
              </w:rPr>
              <w:t>站相关负责人请示</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④作业结束后，需撤出场内所有杂物及剩余物料；</w:t>
            </w:r>
          </w:p>
          <w:p>
            <w:pPr>
              <w:pStyle w:val="null3"/>
              <w:ind w:firstLine="480"/>
            </w:pPr>
            <w:r>
              <w:rPr>
                <w:rFonts w:ascii="仿宋_GB2312" w:hAnsi="仿宋_GB2312" w:cs="仿宋_GB2312" w:eastAsia="仿宋_GB2312"/>
                <w:sz w:val="24"/>
              </w:rPr>
              <w:t>⑤巡检或维修过程中需按照相关安全操作规范进行操作，在运维过程中按要求做好安全措施。</w:t>
            </w:r>
          </w:p>
          <w:p>
            <w:pPr>
              <w:pStyle w:val="null3"/>
            </w:pPr>
            <w:r>
              <w:rPr>
                <w:rFonts w:ascii="仿宋_GB2312" w:hAnsi="仿宋_GB2312" w:cs="仿宋_GB2312" w:eastAsia="仿宋_GB2312"/>
                <w:sz w:val="24"/>
              </w:rPr>
              <w:t>3、</w:t>
            </w:r>
            <w:r>
              <w:rPr>
                <w:rFonts w:ascii="仿宋_GB2312" w:hAnsi="仿宋_GB2312" w:cs="仿宋_GB2312" w:eastAsia="仿宋_GB2312"/>
                <w:sz w:val="24"/>
              </w:rPr>
              <w:t>维修时限要求</w:t>
            </w:r>
          </w:p>
          <w:p>
            <w:pPr>
              <w:pStyle w:val="null3"/>
              <w:ind w:firstLine="480"/>
            </w:pPr>
            <w:r>
              <w:rPr>
                <w:rFonts w:ascii="仿宋_GB2312" w:hAnsi="仿宋_GB2312" w:cs="仿宋_GB2312" w:eastAsia="仿宋_GB2312"/>
                <w:sz w:val="24"/>
              </w:rPr>
              <w:t>①对于故障设备的零部件、接插件，免费维修或更换</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②对于常见故障，</w:t>
            </w:r>
            <w:r>
              <w:rPr>
                <w:rFonts w:ascii="仿宋_GB2312" w:hAnsi="仿宋_GB2312" w:cs="仿宋_GB2312" w:eastAsia="仿宋_GB2312"/>
                <w:sz w:val="24"/>
              </w:rPr>
              <w:t>48</w:t>
            </w:r>
            <w:r>
              <w:rPr>
                <w:rFonts w:ascii="仿宋_GB2312" w:hAnsi="仿宋_GB2312" w:cs="仿宋_GB2312" w:eastAsia="仿宋_GB2312"/>
                <w:sz w:val="24"/>
              </w:rPr>
              <w:t>小时内到达现场进行设备维护，</w:t>
            </w:r>
            <w:r>
              <w:rPr>
                <w:rFonts w:ascii="仿宋_GB2312" w:hAnsi="仿宋_GB2312" w:cs="仿宋_GB2312" w:eastAsia="仿宋_GB2312"/>
                <w:sz w:val="24"/>
              </w:rPr>
              <w:t>8</w:t>
            </w:r>
            <w:r>
              <w:rPr>
                <w:rFonts w:ascii="仿宋_GB2312" w:hAnsi="仿宋_GB2312" w:cs="仿宋_GB2312" w:eastAsia="仿宋_GB2312"/>
                <w:sz w:val="24"/>
              </w:rPr>
              <w:t>小时内完成修复，保证设备运行良好，无法处理的故障报项目负责人协商解决；</w:t>
            </w:r>
          </w:p>
          <w:p>
            <w:pPr>
              <w:pStyle w:val="null3"/>
              <w:ind w:firstLine="480"/>
            </w:pPr>
            <w:r>
              <w:rPr>
                <w:rFonts w:ascii="仿宋_GB2312" w:hAnsi="仿宋_GB2312" w:cs="仿宋_GB2312" w:eastAsia="仿宋_GB2312"/>
                <w:sz w:val="24"/>
              </w:rPr>
              <w:t>③免费更换备用设备，故障设备常见故障进行简单维修，时间不得超过</w:t>
            </w:r>
            <w:r>
              <w:rPr>
                <w:rFonts w:ascii="仿宋_GB2312" w:hAnsi="仿宋_GB2312" w:cs="仿宋_GB2312" w:eastAsia="仿宋_GB2312"/>
                <w:sz w:val="24"/>
              </w:rPr>
              <w:t>3</w:t>
            </w:r>
            <w:r>
              <w:rPr>
                <w:rFonts w:ascii="仿宋_GB2312" w:hAnsi="仿宋_GB2312" w:cs="仿宋_GB2312" w:eastAsia="仿宋_GB2312"/>
                <w:sz w:val="24"/>
              </w:rPr>
              <w:t>个日历日，需要返厂维修，请示主管项目负责人协商解决；</w:t>
            </w:r>
          </w:p>
          <w:p>
            <w:pPr>
              <w:pStyle w:val="null3"/>
            </w:pPr>
            <w:r>
              <w:rPr>
                <w:rFonts w:ascii="仿宋_GB2312" w:hAnsi="仿宋_GB2312" w:cs="仿宋_GB2312" w:eastAsia="仿宋_GB2312"/>
                <w:sz w:val="24"/>
              </w:rPr>
              <w:t>4、</w:t>
            </w:r>
            <w:r>
              <w:rPr>
                <w:rFonts w:ascii="仿宋_GB2312" w:hAnsi="仿宋_GB2312" w:cs="仿宋_GB2312" w:eastAsia="仿宋_GB2312"/>
                <w:sz w:val="24"/>
              </w:rPr>
              <w:t>人员</w:t>
            </w:r>
            <w:r>
              <w:rPr>
                <w:rFonts w:ascii="仿宋_GB2312" w:hAnsi="仿宋_GB2312" w:cs="仿宋_GB2312" w:eastAsia="仿宋_GB2312"/>
                <w:sz w:val="24"/>
              </w:rPr>
              <w:t>配置</w:t>
            </w:r>
          </w:p>
          <w:p>
            <w:pPr>
              <w:pStyle w:val="null3"/>
              <w:ind w:firstLine="420"/>
            </w:pPr>
            <w:r>
              <w:rPr>
                <w:rFonts w:ascii="仿宋_GB2312" w:hAnsi="仿宋_GB2312" w:cs="仿宋_GB2312" w:eastAsia="仿宋_GB2312"/>
                <w:sz w:val="24"/>
              </w:rPr>
              <w:t>应建立运维组织团队，配备与项目相关工作经验和资质人员，设立岗位及职责，与本项目相适。</w:t>
            </w:r>
          </w:p>
          <w:p>
            <w:pPr>
              <w:pStyle w:val="null3"/>
            </w:pPr>
            <w:r>
              <w:rPr>
                <w:rFonts w:ascii="仿宋_GB2312" w:hAnsi="仿宋_GB2312" w:cs="仿宋_GB2312" w:eastAsia="仿宋_GB2312"/>
                <w:sz w:val="24"/>
              </w:rPr>
              <w:t>5、</w:t>
            </w:r>
            <w:r>
              <w:rPr>
                <w:rFonts w:ascii="仿宋_GB2312" w:hAnsi="仿宋_GB2312" w:cs="仿宋_GB2312" w:eastAsia="仿宋_GB2312"/>
                <w:sz w:val="24"/>
              </w:rPr>
              <w:t>提供</w:t>
            </w:r>
            <w:r>
              <w:rPr>
                <w:rFonts w:ascii="仿宋_GB2312" w:hAnsi="仿宋_GB2312" w:cs="仿宋_GB2312" w:eastAsia="仿宋_GB2312"/>
                <w:sz w:val="24"/>
              </w:rPr>
              <w:t>系统</w:t>
            </w:r>
            <w:r>
              <w:rPr>
                <w:rFonts w:ascii="仿宋_GB2312" w:hAnsi="仿宋_GB2312" w:cs="仿宋_GB2312" w:eastAsia="仿宋_GB2312"/>
                <w:sz w:val="24"/>
              </w:rPr>
              <w:t>运行资料台账：</w:t>
            </w:r>
          </w:p>
          <w:p>
            <w:pPr>
              <w:pStyle w:val="null3"/>
              <w:ind w:firstLine="480"/>
            </w:pPr>
            <w:r>
              <w:rPr>
                <w:rFonts w:ascii="仿宋_GB2312" w:hAnsi="仿宋_GB2312" w:cs="仿宋_GB2312" w:eastAsia="仿宋_GB2312"/>
                <w:sz w:val="24"/>
              </w:rPr>
              <w:t>运维单位需按照日记录、周报告</w:t>
            </w:r>
            <w:r>
              <w:rPr>
                <w:rFonts w:ascii="仿宋_GB2312" w:hAnsi="仿宋_GB2312" w:cs="仿宋_GB2312" w:eastAsia="仿宋_GB2312"/>
                <w:sz w:val="24"/>
              </w:rPr>
              <w:t>或现场服务单</w:t>
            </w:r>
            <w:r>
              <w:rPr>
                <w:rFonts w:ascii="仿宋_GB2312" w:hAnsi="仿宋_GB2312" w:cs="仿宋_GB2312" w:eastAsia="仿宋_GB2312"/>
                <w:sz w:val="24"/>
              </w:rPr>
              <w:t>、月报告</w:t>
            </w:r>
            <w:r>
              <w:rPr>
                <w:rFonts w:ascii="仿宋_GB2312" w:hAnsi="仿宋_GB2312" w:cs="仿宋_GB2312" w:eastAsia="仿宋_GB2312"/>
                <w:sz w:val="24"/>
              </w:rPr>
              <w:t>等</w:t>
            </w:r>
            <w:r>
              <w:rPr>
                <w:rFonts w:ascii="仿宋_GB2312" w:hAnsi="仿宋_GB2312" w:cs="仿宋_GB2312" w:eastAsia="仿宋_GB2312"/>
                <w:sz w:val="24"/>
              </w:rPr>
              <w:t>形式，动态反应设备运行情况。</w:t>
            </w:r>
          </w:p>
          <w:p>
            <w:pPr>
              <w:pStyle w:val="null3"/>
            </w:pPr>
            <w:r>
              <w:rPr>
                <w:rFonts w:ascii="仿宋_GB2312" w:hAnsi="仿宋_GB2312" w:cs="仿宋_GB2312" w:eastAsia="仿宋_GB2312"/>
                <w:sz w:val="24"/>
              </w:rPr>
              <w:t>6、</w:t>
            </w:r>
            <w:r>
              <w:rPr>
                <w:rFonts w:ascii="仿宋_GB2312" w:hAnsi="仿宋_GB2312" w:cs="仿宋_GB2312" w:eastAsia="仿宋_GB2312"/>
                <w:sz w:val="24"/>
              </w:rPr>
              <w:t>严格执行设备维修维护记录：</w:t>
            </w:r>
          </w:p>
          <w:p>
            <w:pPr>
              <w:pStyle w:val="null3"/>
              <w:ind w:firstLine="480"/>
            </w:pPr>
            <w:r>
              <w:rPr>
                <w:rFonts w:ascii="仿宋_GB2312" w:hAnsi="仿宋_GB2312" w:cs="仿宋_GB2312" w:eastAsia="仿宋_GB2312"/>
                <w:sz w:val="24"/>
              </w:rPr>
              <w:t>严格执行设备维修维护记录制度及台账，台账需反应每台设备损坏原因及维护维修方式及设备设置变更记录。</w:t>
            </w:r>
          </w:p>
          <w:p>
            <w:pPr>
              <w:pStyle w:val="null3"/>
            </w:pPr>
            <w:r>
              <w:rPr>
                <w:rFonts w:ascii="仿宋_GB2312" w:hAnsi="仿宋_GB2312" w:cs="仿宋_GB2312" w:eastAsia="仿宋_GB2312"/>
                <w:sz w:val="24"/>
              </w:rPr>
              <w:t>7、</w:t>
            </w:r>
            <w:r>
              <w:rPr>
                <w:rFonts w:ascii="仿宋_GB2312" w:hAnsi="仿宋_GB2312" w:cs="仿宋_GB2312" w:eastAsia="仿宋_GB2312"/>
                <w:sz w:val="24"/>
              </w:rPr>
              <w:t>技术支持服务：</w:t>
            </w:r>
          </w:p>
          <w:p>
            <w:pPr>
              <w:pStyle w:val="null3"/>
            </w:pPr>
            <w:r>
              <w:rPr>
                <w:rFonts w:ascii="仿宋_GB2312" w:hAnsi="仿宋_GB2312" w:cs="仿宋_GB2312" w:eastAsia="仿宋_GB2312"/>
                <w:sz w:val="24"/>
              </w:rPr>
              <w:t>运维单位应为用户提供最新的技术服务，并能按照上级要求对系统各项功能升级提供必要的技术支持及升级管理服务。运维单位需对以上各项要求，并根据以上运维流程作出合乎现场情况和运维管理计划方案或承诺，并按照计划及时执行，并接受用户的监督</w:t>
            </w:r>
            <w:r>
              <w:rPr>
                <w:rFonts w:ascii="仿宋_GB2312" w:hAnsi="仿宋_GB2312" w:cs="仿宋_GB2312" w:eastAsia="仿宋_GB2312"/>
                <w:sz w:val="24"/>
              </w:rPr>
              <w:t>。</w:t>
            </w:r>
          </w:p>
          <w:p>
            <w:pPr>
              <w:pStyle w:val="null3"/>
            </w:pPr>
            <w:r>
              <w:rPr>
                <w:rFonts w:ascii="仿宋_GB2312" w:hAnsi="仿宋_GB2312" w:cs="仿宋_GB2312" w:eastAsia="仿宋_GB2312"/>
                <w:sz w:val="24"/>
              </w:rPr>
              <w:t>8、遇不可抗力或人为因素导致设备损坏</w:t>
            </w:r>
            <w:r>
              <w:rPr>
                <w:rFonts w:ascii="仿宋_GB2312" w:hAnsi="仿宋_GB2312" w:cs="仿宋_GB2312" w:eastAsia="仿宋_GB2312"/>
                <w:sz w:val="24"/>
              </w:rPr>
              <w:t>，及时</w:t>
            </w:r>
            <w:r>
              <w:rPr>
                <w:rFonts w:ascii="仿宋_GB2312" w:hAnsi="仿宋_GB2312" w:cs="仿宋_GB2312" w:eastAsia="仿宋_GB2312"/>
                <w:sz w:val="24"/>
              </w:rPr>
              <w:t>向甲方负责人报告，由双方协商解决。</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ind w:left="420"/>
              <w:jc w:val="both"/>
            </w:pPr>
            <w:r>
              <w:rPr>
                <w:rFonts w:ascii="仿宋_GB2312" w:hAnsi="仿宋_GB2312" w:cs="仿宋_GB2312" w:eastAsia="仿宋_GB2312"/>
                <w:sz w:val="24"/>
                <w:b/>
              </w:rPr>
              <w:t>五、商务要求（如服务期限、款项结算等）</w:t>
            </w:r>
          </w:p>
          <w:p>
            <w:pPr>
              <w:pStyle w:val="null3"/>
              <w:jc w:val="both"/>
            </w:pPr>
            <w:r>
              <w:rPr>
                <w:rFonts w:ascii="仿宋_GB2312" w:hAnsi="仿宋_GB2312" w:cs="仿宋_GB2312" w:eastAsia="仿宋_GB2312"/>
                <w:sz w:val="24"/>
              </w:rPr>
              <w:t>（一）服务期限</w:t>
            </w:r>
          </w:p>
          <w:p>
            <w:pPr>
              <w:pStyle w:val="null3"/>
              <w:ind w:firstLine="480"/>
              <w:jc w:val="both"/>
            </w:pPr>
            <w:r>
              <w:rPr>
                <w:rFonts w:ascii="仿宋_GB2312" w:hAnsi="仿宋_GB2312" w:cs="仿宋_GB2312" w:eastAsia="仿宋_GB2312"/>
                <w:sz w:val="24"/>
              </w:rPr>
              <w:t>自合同签订之日起一年。</w:t>
            </w:r>
          </w:p>
          <w:p>
            <w:pPr>
              <w:pStyle w:val="null3"/>
              <w:jc w:val="both"/>
            </w:pPr>
            <w:r>
              <w:rPr>
                <w:rFonts w:ascii="仿宋_GB2312" w:hAnsi="仿宋_GB2312" w:cs="仿宋_GB2312" w:eastAsia="仿宋_GB2312"/>
                <w:sz w:val="24"/>
              </w:rPr>
              <w:t>（二）</w:t>
            </w:r>
            <w:r>
              <w:rPr>
                <w:rFonts w:ascii="仿宋_GB2312" w:hAnsi="仿宋_GB2312" w:cs="仿宋_GB2312" w:eastAsia="仿宋_GB2312"/>
                <w:sz w:val="24"/>
              </w:rPr>
              <w:t>款项结算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合同签订后，先支付</w:t>
            </w:r>
            <w:r>
              <w:rPr>
                <w:rFonts w:ascii="仿宋_GB2312" w:hAnsi="仿宋_GB2312" w:cs="仿宋_GB2312" w:eastAsia="仿宋_GB2312"/>
                <w:sz w:val="24"/>
              </w:rPr>
              <w:t>50%的运维费用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经甲方验收合格后，支付剩余</w:t>
            </w:r>
            <w:r>
              <w:rPr>
                <w:rFonts w:ascii="仿宋_GB2312" w:hAnsi="仿宋_GB2312" w:cs="仿宋_GB2312" w:eastAsia="仿宋_GB2312"/>
                <w:sz w:val="24"/>
              </w:rPr>
              <w:t>50%的运维费用</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b/>
              </w:rPr>
              <w:t>六、其他</w:t>
            </w:r>
          </w:p>
          <w:p>
            <w:pPr>
              <w:pStyle w:val="null3"/>
              <w:jc w:val="both"/>
            </w:pPr>
            <w:r>
              <w:rPr>
                <w:rFonts w:ascii="仿宋_GB2312" w:hAnsi="仿宋_GB2312" w:cs="仿宋_GB2312" w:eastAsia="仿宋_GB2312"/>
                <w:sz w:val="24"/>
              </w:rPr>
              <w:t>（一）成果交付要求</w:t>
            </w:r>
          </w:p>
          <w:p>
            <w:pPr>
              <w:pStyle w:val="null3"/>
              <w:jc w:val="both"/>
            </w:pPr>
            <w:r>
              <w:rPr>
                <w:rFonts w:ascii="仿宋_GB2312" w:hAnsi="仿宋_GB2312" w:cs="仿宋_GB2312" w:eastAsia="仿宋_GB2312"/>
                <w:sz w:val="24"/>
              </w:rPr>
              <w:t>运维文件交付</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月度巡检报告</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应急故障报告</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备件更换记录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年度总结报告</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运维影像资料</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系统优化建议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人员培训记录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）质量验收标准或规范</w:t>
            </w:r>
          </w:p>
          <w:p>
            <w:pPr>
              <w:pStyle w:val="null3"/>
              <w:ind w:firstLine="480"/>
              <w:jc w:val="both"/>
            </w:pPr>
            <w:r>
              <w:rPr>
                <w:rFonts w:ascii="仿宋_GB2312" w:hAnsi="仿宋_GB2312" w:cs="仿宋_GB2312" w:eastAsia="仿宋_GB2312"/>
                <w:sz w:val="24"/>
              </w:rPr>
              <w:t>符合现行国家、行业</w:t>
            </w:r>
            <w:r>
              <w:rPr>
                <w:rFonts w:ascii="仿宋_GB2312" w:hAnsi="仿宋_GB2312" w:cs="仿宋_GB2312" w:eastAsia="仿宋_GB2312"/>
                <w:sz w:val="24"/>
              </w:rPr>
              <w:t>“合格”标准，符合采购人要求</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标的名称：187000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20"/>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西安市黑河水源地环境保护管理总站现有建设污水处理设施</w:t>
            </w:r>
            <w:r>
              <w:rPr>
                <w:rFonts w:ascii="仿宋_GB2312" w:hAnsi="仿宋_GB2312" w:cs="仿宋_GB2312" w:eastAsia="仿宋_GB2312"/>
                <w:sz w:val="24"/>
              </w:rPr>
              <w:t>3套</w:t>
            </w:r>
            <w:r>
              <w:rPr>
                <w:rFonts w:ascii="仿宋_GB2312" w:hAnsi="仿宋_GB2312" w:cs="仿宋_GB2312" w:eastAsia="仿宋_GB2312"/>
                <w:sz w:val="24"/>
              </w:rPr>
              <w:t>。</w:t>
            </w:r>
            <w:r>
              <w:rPr>
                <w:rFonts w:ascii="仿宋_GB2312" w:hAnsi="仿宋_GB2312" w:cs="仿宋_GB2312" w:eastAsia="仿宋_GB2312"/>
                <w:sz w:val="24"/>
              </w:rPr>
              <w:t>西安市黑河水源地环境保护管理总站一套</w:t>
            </w:r>
            <w:r>
              <w:rPr>
                <w:rFonts w:ascii="仿宋_GB2312" w:hAnsi="仿宋_GB2312" w:cs="仿宋_GB2312" w:eastAsia="仿宋_GB2312"/>
                <w:sz w:val="24"/>
              </w:rPr>
              <w:t>处理能力</w:t>
            </w:r>
            <w:r>
              <w:rPr>
                <w:rFonts w:ascii="仿宋_GB2312" w:hAnsi="仿宋_GB2312" w:cs="仿宋_GB2312" w:eastAsia="仿宋_GB2312"/>
                <w:sz w:val="24"/>
              </w:rPr>
              <w:t>12m³/d、陈河镇黑河环保分站、厚畛子镇沙梁子黑河环保分站两套6m³/d污水处理系统</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污水站</w:t>
            </w:r>
            <w:r>
              <w:rPr>
                <w:rFonts w:ascii="仿宋_GB2312" w:hAnsi="仿宋_GB2312" w:cs="仿宋_GB2312" w:eastAsia="仿宋_GB2312"/>
                <w:sz w:val="24"/>
              </w:rPr>
              <w:t>地址位于西安市周至县马召金盆水库交通桥西黑河环保总站、陈河镇黑河环保分站、厚畛子镇沙梁子黑河环保分站。</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left="420"/>
              <w:jc w:val="both"/>
            </w:pPr>
            <w:r>
              <w:rPr>
                <w:rFonts w:ascii="仿宋_GB2312" w:hAnsi="仿宋_GB2312" w:cs="仿宋_GB2312" w:eastAsia="仿宋_GB2312"/>
                <w:sz w:val="24"/>
                <w:b/>
              </w:rPr>
              <w:t>二、服务内容（包括工作区域、工作内容等）</w:t>
            </w:r>
          </w:p>
          <w:p>
            <w:pPr>
              <w:pStyle w:val="null3"/>
              <w:ind w:firstLine="480"/>
              <w:jc w:val="both"/>
            </w:pPr>
            <w:r>
              <w:rPr>
                <w:rFonts w:ascii="仿宋_GB2312" w:hAnsi="仿宋_GB2312" w:cs="仿宋_GB2312" w:eastAsia="仿宋_GB2312"/>
                <w:sz w:val="24"/>
              </w:rPr>
              <w:t>负责</w:t>
            </w:r>
            <w:r>
              <w:rPr>
                <w:rFonts w:ascii="仿宋_GB2312" w:hAnsi="仿宋_GB2312" w:cs="仿宋_GB2312" w:eastAsia="仿宋_GB2312"/>
                <w:sz w:val="24"/>
              </w:rPr>
              <w:t>西安市黑河水源地环境保护管理总站、陈河镇黑河环保分站、厚畛子镇沙梁子黑河环保分站</w:t>
            </w:r>
            <w:r>
              <w:rPr>
                <w:rFonts w:ascii="仿宋_GB2312" w:hAnsi="仿宋_GB2312" w:cs="仿宋_GB2312" w:eastAsia="仿宋_GB2312"/>
                <w:sz w:val="24"/>
              </w:rPr>
              <w:t>污水处理站运行维护，保证污水处理站</w:t>
            </w:r>
            <w:r>
              <w:rPr>
                <w:rFonts w:ascii="仿宋_GB2312" w:hAnsi="仿宋_GB2312" w:cs="仿宋_GB2312" w:eastAsia="仿宋_GB2312"/>
                <w:sz w:val="24"/>
              </w:rPr>
              <w:t>正常运行。</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left="420"/>
              <w:jc w:val="both"/>
            </w:pPr>
            <w:r>
              <w:rPr>
                <w:rFonts w:ascii="仿宋_GB2312" w:hAnsi="仿宋_GB2312" w:cs="仿宋_GB2312" w:eastAsia="仿宋_GB2312"/>
                <w:sz w:val="24"/>
                <w:b/>
              </w:rPr>
              <w:t>三、技术要求（如有，一般适合于技术服务项目）</w:t>
            </w:r>
          </w:p>
          <w:p>
            <w:pPr>
              <w:pStyle w:val="null3"/>
              <w:ind w:left="570"/>
              <w:jc w:val="both"/>
              <w:outlineLvl w:val="1"/>
            </w:pPr>
            <w:r>
              <w:rPr>
                <w:rFonts w:ascii="仿宋_GB2312" w:hAnsi="仿宋_GB2312" w:cs="仿宋_GB2312" w:eastAsia="仿宋_GB2312"/>
                <w:sz w:val="24"/>
                <w:b/>
                <w:color w:val="000000"/>
              </w:rPr>
              <w:t>1.运维</w:t>
            </w:r>
            <w:r>
              <w:rPr>
                <w:rFonts w:ascii="仿宋_GB2312" w:hAnsi="仿宋_GB2312" w:cs="仿宋_GB2312" w:eastAsia="仿宋_GB2312"/>
                <w:sz w:val="24"/>
                <w:b/>
                <w:color w:val="000000"/>
              </w:rPr>
              <w:t>日常管理</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要求运维单位</w:t>
            </w:r>
            <w:r>
              <w:rPr>
                <w:rFonts w:ascii="仿宋_GB2312" w:hAnsi="仿宋_GB2312" w:cs="仿宋_GB2312" w:eastAsia="仿宋_GB2312"/>
                <w:sz w:val="24"/>
              </w:rPr>
              <w:t>成立项目部，负责本项目的运作，同时配备专用车辆，全方位开展污水厂的运营工作。</w:t>
            </w:r>
          </w:p>
          <w:p>
            <w:pPr>
              <w:pStyle w:val="null3"/>
              <w:ind w:firstLine="480"/>
              <w:jc w:val="both"/>
            </w:pPr>
            <w:r>
              <w:rPr>
                <w:rFonts w:ascii="仿宋_GB2312" w:hAnsi="仿宋_GB2312" w:cs="仿宋_GB2312" w:eastAsia="仿宋_GB2312"/>
                <w:sz w:val="24"/>
              </w:rPr>
              <w:t>提供</w:t>
            </w:r>
            <w:r>
              <w:rPr>
                <w:rFonts w:ascii="仿宋_GB2312" w:hAnsi="仿宋_GB2312" w:cs="仿宋_GB2312" w:eastAsia="仿宋_GB2312"/>
                <w:sz w:val="24"/>
              </w:rPr>
              <w:t>24小时技术支持。当系统出现故障时，立即响应，提供技术支持，如需到现场解</w:t>
            </w:r>
            <w:r>
              <w:rPr>
                <w:rFonts w:ascii="仿宋_GB2312" w:hAnsi="仿宋_GB2312" w:cs="仿宋_GB2312" w:eastAsia="仿宋_GB2312"/>
                <w:sz w:val="24"/>
              </w:rPr>
              <w:t>决的在</w:t>
            </w:r>
            <w:r>
              <w:rPr>
                <w:rFonts w:ascii="仿宋_GB2312" w:hAnsi="仿宋_GB2312" w:cs="仿宋_GB2312" w:eastAsia="仿宋_GB2312"/>
                <w:sz w:val="24"/>
              </w:rPr>
              <w:t>6</w:t>
            </w:r>
            <w:r>
              <w:rPr>
                <w:rFonts w:ascii="仿宋_GB2312" w:hAnsi="仿宋_GB2312" w:cs="仿宋_GB2312" w:eastAsia="仿宋_GB2312"/>
                <w:sz w:val="24"/>
              </w:rPr>
              <w:t>小时内到达现场及相应的保证措施。</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执行持证上岗制度，达到持证上岗率</w:t>
            </w:r>
            <w:r>
              <w:rPr>
                <w:rFonts w:ascii="仿宋_GB2312" w:hAnsi="仿宋_GB2312" w:cs="仿宋_GB2312" w:eastAsia="仿宋_GB2312"/>
                <w:sz w:val="24"/>
              </w:rPr>
              <w:t>100%，并按期进行岗位资格的审查工作。加强员工的劳动安全卫生教育和劳动防护培训，确保无重大伤亡和职业危害事故发生。</w:t>
            </w:r>
          </w:p>
          <w:p>
            <w:pPr>
              <w:pStyle w:val="null3"/>
              <w:ind w:left="570"/>
              <w:jc w:val="both"/>
              <w:outlineLvl w:val="1"/>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工艺运行及管理</w:t>
            </w:r>
          </w:p>
          <w:p>
            <w:pPr>
              <w:pStyle w:val="null3"/>
              <w:ind w:firstLine="480"/>
              <w:jc w:val="both"/>
            </w:pPr>
            <w:r>
              <w:rPr>
                <w:rFonts w:ascii="仿宋_GB2312" w:hAnsi="仿宋_GB2312" w:cs="仿宋_GB2312" w:eastAsia="仿宋_GB2312"/>
                <w:sz w:val="24"/>
              </w:rPr>
              <w:t>2.1负责</w:t>
            </w:r>
            <w:r>
              <w:rPr>
                <w:rFonts w:ascii="仿宋_GB2312" w:hAnsi="仿宋_GB2312" w:cs="仿宋_GB2312" w:eastAsia="仿宋_GB2312"/>
                <w:sz w:val="24"/>
              </w:rPr>
              <w:t>调整运行参数为保证污水处理厂工作于最佳运行参数下，做好运行数据测定及记录工作</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2.2</w:t>
            </w:r>
            <w:r>
              <w:rPr>
                <w:rFonts w:ascii="仿宋_GB2312" w:hAnsi="仿宋_GB2312" w:cs="仿宋_GB2312" w:eastAsia="仿宋_GB2312"/>
                <w:sz w:val="24"/>
              </w:rPr>
              <w:t>合理运行设备设施根据进水的水质、水量，</w:t>
            </w:r>
            <w:r>
              <w:rPr>
                <w:rFonts w:ascii="仿宋_GB2312" w:hAnsi="仿宋_GB2312" w:cs="仿宋_GB2312" w:eastAsia="仿宋_GB2312"/>
                <w:sz w:val="24"/>
              </w:rPr>
              <w:t>适时</w:t>
            </w:r>
            <w:r>
              <w:rPr>
                <w:rFonts w:ascii="仿宋_GB2312" w:hAnsi="仿宋_GB2312" w:cs="仿宋_GB2312" w:eastAsia="仿宋_GB2312"/>
                <w:sz w:val="24"/>
              </w:rPr>
              <w:t>调整设备设施开启台数，不断调整运行参数和工艺，以达到最佳运行状态。</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2.3</w:t>
            </w:r>
            <w:r>
              <w:rPr>
                <w:rFonts w:ascii="仿宋_GB2312" w:hAnsi="仿宋_GB2312" w:cs="仿宋_GB2312" w:eastAsia="仿宋_GB2312"/>
                <w:sz w:val="24"/>
              </w:rPr>
              <w:t>根据水质调节活性污泥的状态活性，制定适合的培菌方案。</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维修维护</w:t>
            </w:r>
          </w:p>
          <w:p>
            <w:pPr>
              <w:pStyle w:val="null3"/>
              <w:ind w:firstLine="480"/>
              <w:jc w:val="both"/>
            </w:pPr>
            <w:r>
              <w:rPr>
                <w:rFonts w:ascii="仿宋_GB2312" w:hAnsi="仿宋_GB2312" w:cs="仿宋_GB2312" w:eastAsia="仿宋_GB2312"/>
                <w:sz w:val="24"/>
              </w:rPr>
              <w:t>根据预防维修的原则和设备实际状况确定维修周期和工期，并严格按计划实施设备维修合理地延长设备使用周期，缩短维修工期，降低维修成本，提高维修质量，并使日常维护、保养和定期维修负荷达到最均衡状态。</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应急预案</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4.1制定水质变化包括出水超标的应急预案</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4.2制定保证人员安全和设备安全的制度计划</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环境保护方案</w:t>
            </w:r>
          </w:p>
          <w:p>
            <w:pPr>
              <w:pStyle w:val="null3"/>
              <w:jc w:val="both"/>
            </w:pPr>
            <w:r>
              <w:rPr>
                <w:rFonts w:ascii="仿宋_GB2312" w:hAnsi="仿宋_GB2312" w:cs="仿宋_GB2312" w:eastAsia="仿宋_GB2312"/>
                <w:sz w:val="24"/>
              </w:rPr>
              <w:t>制定合理的</w:t>
            </w:r>
            <w:r>
              <w:rPr>
                <w:rFonts w:ascii="仿宋_GB2312" w:hAnsi="仿宋_GB2312" w:cs="仿宋_GB2312" w:eastAsia="仿宋_GB2312"/>
                <w:sz w:val="24"/>
              </w:rPr>
              <w:t>防治</w:t>
            </w:r>
            <w:r>
              <w:rPr>
                <w:rFonts w:ascii="仿宋_GB2312" w:hAnsi="仿宋_GB2312" w:cs="仿宋_GB2312" w:eastAsia="仿宋_GB2312"/>
                <w:sz w:val="24"/>
              </w:rPr>
              <w:t>污水、</w:t>
            </w:r>
            <w:r>
              <w:rPr>
                <w:rFonts w:ascii="仿宋_GB2312" w:hAnsi="仿宋_GB2312" w:cs="仿宋_GB2312" w:eastAsia="仿宋_GB2312"/>
                <w:sz w:val="24"/>
              </w:rPr>
              <w:t>噪声污染、腐蚀、臭气以及事故排放</w:t>
            </w:r>
            <w:r>
              <w:rPr>
                <w:rFonts w:ascii="仿宋_GB2312" w:hAnsi="仿宋_GB2312" w:cs="仿宋_GB2312" w:eastAsia="仿宋_GB2312"/>
                <w:sz w:val="24"/>
              </w:rPr>
              <w:t>计划和方法</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ind w:left="420"/>
              <w:jc w:val="both"/>
            </w:pPr>
            <w:r>
              <w:rPr>
                <w:rFonts w:ascii="仿宋_GB2312" w:hAnsi="仿宋_GB2312" w:cs="仿宋_GB2312" w:eastAsia="仿宋_GB2312"/>
                <w:sz w:val="24"/>
                <w:b/>
              </w:rPr>
              <w:t>四、服务要求</w:t>
            </w:r>
          </w:p>
          <w:p>
            <w:pPr>
              <w:pStyle w:val="null3"/>
              <w:ind w:left="420"/>
              <w:jc w:val="left"/>
            </w:pPr>
            <w:r>
              <w:rPr>
                <w:rFonts w:ascii="仿宋_GB2312" w:hAnsi="仿宋_GB2312" w:cs="仿宋_GB2312" w:eastAsia="仿宋_GB2312"/>
                <w:sz w:val="24"/>
              </w:rPr>
              <w:t>1、</w:t>
            </w:r>
            <w:r>
              <w:rPr>
                <w:rFonts w:ascii="仿宋_GB2312" w:hAnsi="仿宋_GB2312" w:cs="仿宋_GB2312" w:eastAsia="仿宋_GB2312"/>
                <w:sz w:val="24"/>
              </w:rPr>
              <w:t>至少</w:t>
            </w:r>
            <w:r>
              <w:rPr>
                <w:rFonts w:ascii="仿宋_GB2312" w:hAnsi="仿宋_GB2312" w:cs="仿宋_GB2312" w:eastAsia="仿宋_GB2312"/>
                <w:sz w:val="24"/>
              </w:rPr>
              <w:t>保证</w:t>
            </w:r>
            <w:r>
              <w:rPr>
                <w:rFonts w:ascii="仿宋_GB2312" w:hAnsi="仿宋_GB2312" w:cs="仿宋_GB2312" w:eastAsia="仿宋_GB2312"/>
                <w:sz w:val="24"/>
              </w:rPr>
              <w:t>专职维护人员</w:t>
            </w:r>
            <w:r>
              <w:rPr>
                <w:rFonts w:ascii="仿宋_GB2312" w:hAnsi="仿宋_GB2312" w:cs="仿宋_GB2312" w:eastAsia="仿宋_GB2312"/>
                <w:sz w:val="24"/>
              </w:rPr>
              <w:t>2</w:t>
            </w:r>
            <w:r>
              <w:rPr>
                <w:rFonts w:ascii="仿宋_GB2312" w:hAnsi="仿宋_GB2312" w:cs="仿宋_GB2312" w:eastAsia="仿宋_GB2312"/>
                <w:sz w:val="24"/>
              </w:rPr>
              <w:t>名无故障每周定期巡检一次，故障</w:t>
            </w:r>
            <w:r>
              <w:rPr>
                <w:rFonts w:ascii="仿宋_GB2312" w:hAnsi="仿宋_GB2312" w:cs="仿宋_GB2312" w:eastAsia="仿宋_GB2312"/>
                <w:sz w:val="24"/>
              </w:rPr>
              <w:t>6</w:t>
            </w:r>
            <w:r>
              <w:rPr>
                <w:rFonts w:ascii="仿宋_GB2312" w:hAnsi="仿宋_GB2312" w:cs="仿宋_GB2312" w:eastAsia="仿宋_GB2312"/>
                <w:sz w:val="24"/>
              </w:rPr>
              <w:t>小时到现场，</w:t>
            </w:r>
            <w:r>
              <w:rPr>
                <w:rFonts w:ascii="仿宋_GB2312" w:hAnsi="仿宋_GB2312" w:cs="仿宋_GB2312" w:eastAsia="仿宋_GB2312"/>
                <w:sz w:val="24"/>
              </w:rPr>
              <w:t>24小时内排除。应急维修和定期检修机修、电工、工艺员不少于三名。</w:t>
            </w:r>
          </w:p>
          <w:p>
            <w:pPr>
              <w:pStyle w:val="null3"/>
              <w:ind w:left="420"/>
              <w:jc w:val="left"/>
            </w:pPr>
            <w:r>
              <w:rPr>
                <w:rFonts w:ascii="仿宋_GB2312" w:hAnsi="仿宋_GB2312" w:cs="仿宋_GB2312" w:eastAsia="仿宋_GB2312"/>
                <w:sz w:val="24"/>
              </w:rPr>
              <w:t>2</w:t>
            </w:r>
            <w:r>
              <w:rPr>
                <w:rFonts w:ascii="仿宋_GB2312" w:hAnsi="仿宋_GB2312" w:cs="仿宋_GB2312" w:eastAsia="仿宋_GB2312"/>
                <w:sz w:val="24"/>
              </w:rPr>
              <w:t>、因当地</w:t>
            </w:r>
            <w:r>
              <w:rPr>
                <w:rFonts w:ascii="仿宋_GB2312" w:hAnsi="仿宋_GB2312" w:cs="仿宋_GB2312" w:eastAsia="仿宋_GB2312"/>
                <w:sz w:val="24"/>
              </w:rPr>
              <w:t>处于</w:t>
            </w:r>
            <w:r>
              <w:rPr>
                <w:rFonts w:ascii="仿宋_GB2312" w:hAnsi="仿宋_GB2312" w:cs="仿宋_GB2312" w:eastAsia="仿宋_GB2312"/>
                <w:sz w:val="24"/>
              </w:rPr>
              <w:t>山区，距离遥远</w:t>
            </w:r>
            <w:r>
              <w:rPr>
                <w:rFonts w:ascii="仿宋_GB2312" w:hAnsi="仿宋_GB2312" w:cs="仿宋_GB2312" w:eastAsia="仿宋_GB2312"/>
                <w:sz w:val="24"/>
              </w:rPr>
              <w:t>交通不便</w:t>
            </w:r>
            <w:r>
              <w:rPr>
                <w:rFonts w:ascii="仿宋_GB2312" w:hAnsi="仿宋_GB2312" w:cs="仿宋_GB2312" w:eastAsia="仿宋_GB2312"/>
                <w:sz w:val="24"/>
              </w:rPr>
              <w:t>，需配备专用车辆一台，保证维护和定期检修。</w:t>
            </w:r>
          </w:p>
          <w:p>
            <w:pPr>
              <w:pStyle w:val="null3"/>
              <w:ind w:left="420"/>
              <w:jc w:val="left"/>
            </w:pPr>
            <w:r>
              <w:rPr>
                <w:rFonts w:ascii="仿宋_GB2312" w:hAnsi="仿宋_GB2312" w:cs="仿宋_GB2312" w:eastAsia="仿宋_GB2312"/>
                <w:sz w:val="24"/>
              </w:rPr>
              <w:t>3</w:t>
            </w:r>
            <w:r>
              <w:rPr>
                <w:rFonts w:ascii="仿宋_GB2312" w:hAnsi="仿宋_GB2312" w:cs="仿宋_GB2312" w:eastAsia="仿宋_GB2312"/>
                <w:sz w:val="24"/>
              </w:rPr>
              <w:t>、每季度轮流检修保养一次。</w:t>
            </w:r>
          </w:p>
          <w:p>
            <w:pPr>
              <w:pStyle w:val="null3"/>
              <w:ind w:left="420"/>
              <w:jc w:val="left"/>
            </w:pPr>
            <w:r>
              <w:rPr>
                <w:rFonts w:ascii="仿宋_GB2312" w:hAnsi="仿宋_GB2312" w:cs="仿宋_GB2312" w:eastAsia="仿宋_GB2312"/>
                <w:sz w:val="24"/>
              </w:rPr>
              <w:t>4</w:t>
            </w:r>
            <w:r>
              <w:rPr>
                <w:rFonts w:ascii="仿宋_GB2312" w:hAnsi="仿宋_GB2312" w:cs="仿宋_GB2312" w:eastAsia="仿宋_GB2312"/>
                <w:sz w:val="24"/>
              </w:rPr>
              <w:t>、维护维修人员持证上岗。</w:t>
            </w:r>
          </w:p>
          <w:p>
            <w:pPr>
              <w:pStyle w:val="null3"/>
              <w:ind w:left="420"/>
              <w:jc w:val="left"/>
            </w:pPr>
            <w:r>
              <w:rPr>
                <w:rFonts w:ascii="仿宋_GB2312" w:hAnsi="仿宋_GB2312" w:cs="仿宋_GB2312" w:eastAsia="仿宋_GB2312"/>
                <w:sz w:val="24"/>
              </w:rPr>
              <w:t>5</w:t>
            </w:r>
            <w:r>
              <w:rPr>
                <w:rFonts w:ascii="仿宋_GB2312" w:hAnsi="仿宋_GB2312" w:cs="仿宋_GB2312" w:eastAsia="仿宋_GB2312"/>
                <w:sz w:val="24"/>
              </w:rPr>
              <w:t>、水质检测每月一次，检测项目不少于：化学需氧量，生物需氧量，常规五参数，氨氮，总磷等。每</w:t>
            </w:r>
            <w:r>
              <w:rPr>
                <w:rFonts w:ascii="仿宋_GB2312" w:hAnsi="仿宋_GB2312" w:cs="仿宋_GB2312" w:eastAsia="仿宋_GB2312"/>
                <w:sz w:val="24"/>
              </w:rPr>
              <w:t>6个月出具一次第三方检测报告。</w:t>
            </w:r>
          </w:p>
          <w:p>
            <w:pPr>
              <w:pStyle w:val="null3"/>
              <w:ind w:left="420"/>
              <w:jc w:val="left"/>
            </w:pPr>
            <w:r>
              <w:rPr>
                <w:rFonts w:ascii="仿宋_GB2312" w:hAnsi="仿宋_GB2312" w:cs="仿宋_GB2312" w:eastAsia="仿宋_GB2312"/>
                <w:sz w:val="24"/>
              </w:rPr>
              <w:t>6</w:t>
            </w:r>
            <w:r>
              <w:rPr>
                <w:rFonts w:ascii="仿宋_GB2312" w:hAnsi="仿宋_GB2312" w:cs="仿宋_GB2312" w:eastAsia="仿宋_GB2312"/>
                <w:sz w:val="24"/>
              </w:rPr>
              <w:t>、认真填写运行记录和维修维护记录。</w:t>
            </w:r>
          </w:p>
          <w:p>
            <w:pPr>
              <w:pStyle w:val="null3"/>
              <w:ind w:left="420"/>
              <w:jc w:val="left"/>
            </w:pPr>
            <w:r>
              <w:rPr>
                <w:rFonts w:ascii="仿宋_GB2312" w:hAnsi="仿宋_GB2312" w:cs="仿宋_GB2312" w:eastAsia="仿宋_GB2312"/>
                <w:sz w:val="24"/>
              </w:rPr>
              <w:t>7</w:t>
            </w:r>
            <w:r>
              <w:rPr>
                <w:rFonts w:ascii="仿宋_GB2312" w:hAnsi="仿宋_GB2312" w:cs="仿宋_GB2312" w:eastAsia="仿宋_GB2312"/>
                <w:sz w:val="24"/>
              </w:rPr>
              <w:t>、配合业主各项检查工作，保证检查时维护人员在现场</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ind w:left="420"/>
              <w:jc w:val="both"/>
            </w:pPr>
            <w:r>
              <w:rPr>
                <w:rFonts w:ascii="仿宋_GB2312" w:hAnsi="仿宋_GB2312" w:cs="仿宋_GB2312" w:eastAsia="仿宋_GB2312"/>
                <w:sz w:val="24"/>
                <w:b/>
              </w:rPr>
              <w:t>五、商务要求（如服务期限、款项结算等）</w:t>
            </w:r>
          </w:p>
          <w:p>
            <w:pPr>
              <w:pStyle w:val="null3"/>
              <w:jc w:val="both"/>
            </w:pPr>
            <w:r>
              <w:rPr>
                <w:rFonts w:ascii="仿宋_GB2312" w:hAnsi="仿宋_GB2312" w:cs="仿宋_GB2312" w:eastAsia="仿宋_GB2312"/>
                <w:sz w:val="24"/>
              </w:rPr>
              <w:t>（一）服务期限</w:t>
            </w:r>
          </w:p>
          <w:p>
            <w:pPr>
              <w:pStyle w:val="null3"/>
              <w:ind w:firstLine="480"/>
              <w:jc w:val="both"/>
            </w:pPr>
            <w:r>
              <w:rPr>
                <w:rFonts w:ascii="仿宋_GB2312" w:hAnsi="仿宋_GB2312" w:cs="仿宋_GB2312" w:eastAsia="仿宋_GB2312"/>
                <w:sz w:val="24"/>
              </w:rPr>
              <w:t>自合同签订之日起一年。</w:t>
            </w:r>
          </w:p>
          <w:p>
            <w:pPr>
              <w:pStyle w:val="null3"/>
              <w:jc w:val="both"/>
            </w:pPr>
            <w:r>
              <w:rPr>
                <w:rFonts w:ascii="仿宋_GB2312" w:hAnsi="仿宋_GB2312" w:cs="仿宋_GB2312" w:eastAsia="仿宋_GB2312"/>
                <w:sz w:val="24"/>
              </w:rPr>
              <w:t>（二）款项结算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合同签订后，先支付</w:t>
            </w:r>
            <w:r>
              <w:rPr>
                <w:rFonts w:ascii="仿宋_GB2312" w:hAnsi="仿宋_GB2312" w:cs="仿宋_GB2312" w:eastAsia="仿宋_GB2312"/>
                <w:sz w:val="24"/>
              </w:rPr>
              <w:t>50%的运维费用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经甲方验收合格后，支付剩余</w:t>
            </w:r>
            <w:r>
              <w:rPr>
                <w:rFonts w:ascii="仿宋_GB2312" w:hAnsi="仿宋_GB2312" w:cs="仿宋_GB2312" w:eastAsia="仿宋_GB2312"/>
                <w:sz w:val="24"/>
              </w:rPr>
              <w:t>50%的运维费用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符合现行国家、行业“合格”标准，符合采购人要求。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污水处理系统的污水经处理后出水达到《城镇污水处理厂污染物排放标准》（GB18918-2002）一级B标准。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1.按《中华人民共和国民法典》中的相关条款和本合同的约定执行。 2.未按合同或磋商文件要求提供服务质量不能满足甲方技术要求，甲方有权终止合同，甚至对乙方违约行为进行追究。解决争议的方法：合同执行中发生争议的，当事人双方应协商解决。协商不一致时，向有管辖权的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1.按《中华人民共和国民法典》中的相关条款和本合同的约定执行。 2.未按合同或磋商文件要求提供服务质量不能满足甲方技术要求，甲方有权终止合同，甚至对乙方违约行为进行追究。解决争议的方法：合同执行中发生争议的，当事人双方应协商解决。协商不一致时，向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资格证明文件采购1.docx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资格证明文件采购2.docx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具有独立承担民事责任能力的法人、其他组织或自然人营业执照、税务登记证、组织机构代码证（多证合一只提供营业执照，事业单位提供事业单位法人证书，自然人提供本人身份证合法有效）；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资格证明文件采购1.docx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 xml:space="preserve"> 企业技术资质</w:t>
            </w:r>
          </w:p>
        </w:tc>
        <w:tc>
          <w:tcPr>
            <w:tcW w:type="dxa" w:w="3322"/>
          </w:tcPr>
          <w:p>
            <w:pPr>
              <w:pStyle w:val="null3"/>
            </w:pPr>
            <w:r>
              <w:rPr>
                <w:rFonts w:ascii="仿宋_GB2312" w:hAnsi="仿宋_GB2312" w:cs="仿宋_GB2312" w:eastAsia="仿宋_GB2312"/>
              </w:rPr>
              <w:t>供应商具有建设行政主管部门颁发的电子与智能化工程专业承包二级及以上（含二级）资质证书，且具备有效的安全生产许可证；</w:t>
            </w:r>
          </w:p>
        </w:tc>
        <w:tc>
          <w:tcPr>
            <w:tcW w:type="dxa" w:w="1661"/>
          </w:tcPr>
          <w:p>
            <w:pPr>
              <w:pStyle w:val="null3"/>
            </w:pPr>
            <w:r>
              <w:rPr>
                <w:rFonts w:ascii="仿宋_GB2312" w:hAnsi="仿宋_GB2312" w:cs="仿宋_GB2312" w:eastAsia="仿宋_GB2312"/>
              </w:rPr>
              <w:t>资格证明文件采购1.docx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项目负责人资质</w:t>
            </w:r>
          </w:p>
        </w:tc>
        <w:tc>
          <w:tcPr>
            <w:tcW w:type="dxa" w:w="3322"/>
          </w:tcPr>
          <w:p>
            <w:pPr>
              <w:pStyle w:val="null3"/>
            </w:pPr>
            <w:r>
              <w:rPr>
                <w:rFonts w:ascii="仿宋_GB2312" w:hAnsi="仿宋_GB2312" w:cs="仿宋_GB2312" w:eastAsia="仿宋_GB2312"/>
              </w:rPr>
              <w:t>拟派项目负责人具有机电专业二级及以上建造师注册证书并提供有效的安全生产考核合格证书（B 类证）及提供在本企业2024年07月份至投标截止时间已缴纳的至少六个月社保缴纳证明，且无在建项目（提供无在建项目承诺书)；</w:t>
            </w:r>
          </w:p>
        </w:tc>
        <w:tc>
          <w:tcPr>
            <w:tcW w:type="dxa" w:w="1661"/>
          </w:tcPr>
          <w:p>
            <w:pPr>
              <w:pStyle w:val="null3"/>
            </w:pPr>
            <w:r>
              <w:rPr>
                <w:rFonts w:ascii="仿宋_GB2312" w:hAnsi="仿宋_GB2312" w:cs="仿宋_GB2312" w:eastAsia="仿宋_GB2312"/>
              </w:rPr>
              <w:t>资格证明文件采购1.docx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须提供2023或2024任意一年度财务报表或具有财务审计资质的单位出具的财务报告（至少包括资产负债表和利润表，成立时间至提交投标文件截止时间不足一年的可提供成立后任意时段的资产负债表）或银行出具的资信证明；</w:t>
            </w:r>
          </w:p>
        </w:tc>
        <w:tc>
          <w:tcPr>
            <w:tcW w:type="dxa" w:w="1661"/>
          </w:tcPr>
          <w:p>
            <w:pPr>
              <w:pStyle w:val="null3"/>
            </w:pPr>
            <w:r>
              <w:rPr>
                <w:rFonts w:ascii="仿宋_GB2312" w:hAnsi="仿宋_GB2312" w:cs="仿宋_GB2312" w:eastAsia="仿宋_GB2312"/>
              </w:rPr>
              <w:t>资格证明文件采购1.docx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资格证明文件采购1.docx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资格证明文件采购1.docx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参加本次政府采购活动前三年内在经营活动中没有重大违纪的书面声明；</w:t>
            </w:r>
          </w:p>
        </w:tc>
        <w:tc>
          <w:tcPr>
            <w:tcW w:type="dxa" w:w="1661"/>
          </w:tcPr>
          <w:p>
            <w:pPr>
              <w:pStyle w:val="null3"/>
            </w:pPr>
            <w:r>
              <w:rPr>
                <w:rFonts w:ascii="仿宋_GB2312" w:hAnsi="仿宋_GB2312" w:cs="仿宋_GB2312" w:eastAsia="仿宋_GB2312"/>
              </w:rPr>
              <w:t>资格证明文件采购1.docx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履行合同所必需的设备和专业技术能力的承诺；</w:t>
            </w:r>
          </w:p>
        </w:tc>
        <w:tc>
          <w:tcPr>
            <w:tcW w:type="dxa" w:w="1661"/>
          </w:tcPr>
          <w:p>
            <w:pPr>
              <w:pStyle w:val="null3"/>
            </w:pPr>
            <w:r>
              <w:rPr>
                <w:rFonts w:ascii="仿宋_GB2312" w:hAnsi="仿宋_GB2312" w:cs="仿宋_GB2312" w:eastAsia="仿宋_GB2312"/>
              </w:rPr>
              <w:t>资格证明文件采购1.docx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资格证明文件采购1.docx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单位负责人为同一人或者存在控股、管理关系的不同单位不得同时投标；</w:t>
            </w:r>
          </w:p>
        </w:tc>
        <w:tc>
          <w:tcPr>
            <w:tcW w:type="dxa" w:w="1661"/>
          </w:tcPr>
          <w:p>
            <w:pPr>
              <w:pStyle w:val="null3"/>
            </w:pPr>
            <w:r>
              <w:rPr>
                <w:rFonts w:ascii="仿宋_GB2312" w:hAnsi="仿宋_GB2312" w:cs="仿宋_GB2312" w:eastAsia="仿宋_GB2312"/>
              </w:rPr>
              <w:t>资格证明文件采购1.docx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本次项目不接受联合体投标</w:t>
            </w:r>
          </w:p>
        </w:tc>
        <w:tc>
          <w:tcPr>
            <w:tcW w:type="dxa" w:w="3322"/>
          </w:tcPr>
          <w:p>
            <w:pPr>
              <w:pStyle w:val="null3"/>
            </w:pPr>
            <w:r>
              <w:rPr>
                <w:rFonts w:ascii="仿宋_GB2312" w:hAnsi="仿宋_GB2312" w:cs="仿宋_GB2312" w:eastAsia="仿宋_GB2312"/>
              </w:rPr>
              <w:t>提供非联合体投标承诺书；</w:t>
            </w:r>
          </w:p>
        </w:tc>
        <w:tc>
          <w:tcPr>
            <w:tcW w:type="dxa" w:w="1661"/>
          </w:tcPr>
          <w:p>
            <w:pPr>
              <w:pStyle w:val="null3"/>
            </w:pPr>
            <w:r>
              <w:rPr>
                <w:rFonts w:ascii="仿宋_GB2312" w:hAnsi="仿宋_GB2312" w:cs="仿宋_GB2312" w:eastAsia="仿宋_GB2312"/>
              </w:rPr>
              <w:t>资格证明文件采购1.docx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 财库〔2020〕46号）条件的中小企业参与，提供中小企业声明函（残疾人福利性单位、监狱企业视同小、微企业）。</w:t>
            </w:r>
          </w:p>
        </w:tc>
        <w:tc>
          <w:tcPr>
            <w:tcW w:type="dxa" w:w="1661"/>
          </w:tcPr>
          <w:p>
            <w:pPr>
              <w:pStyle w:val="null3"/>
            </w:pPr>
            <w:r>
              <w:rPr>
                <w:rFonts w:ascii="仿宋_GB2312" w:hAnsi="仿宋_GB2312" w:cs="仿宋_GB2312" w:eastAsia="仿宋_GB2312"/>
              </w:rPr>
              <w:t>资格证明文件采购1.docx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具有独立承担民事责任能力的法人、其他组织或自然人营业执照、税务登记证、组织机构代码证（多证合一只提供营业执照，事业单位提供事业单位法人证书，自然人提供本人身份证合法有效）；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资格证明文件采购2.docx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须提供2023或2024任意一年度财务报表或具有财务审计资质的单位出具的财务报告（至少包括资产负债表和利润表，成立时间至提交投标文件截止时间不足一年的可提供成立后任意时段的资产负债表）或银行出具的资信证明；</w:t>
            </w:r>
          </w:p>
        </w:tc>
        <w:tc>
          <w:tcPr>
            <w:tcW w:type="dxa" w:w="1661"/>
          </w:tcPr>
          <w:p>
            <w:pPr>
              <w:pStyle w:val="null3"/>
            </w:pPr>
            <w:r>
              <w:rPr>
                <w:rFonts w:ascii="仿宋_GB2312" w:hAnsi="仿宋_GB2312" w:cs="仿宋_GB2312" w:eastAsia="仿宋_GB2312"/>
              </w:rPr>
              <w:t>资格证明文件采购2.docx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资格证明文件采购2.docx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资格证明文件采购2.docx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参加本次政府采购活动前三年内在经营活动中没有重大违纪的书面声明；</w:t>
            </w:r>
          </w:p>
        </w:tc>
        <w:tc>
          <w:tcPr>
            <w:tcW w:type="dxa" w:w="1661"/>
          </w:tcPr>
          <w:p>
            <w:pPr>
              <w:pStyle w:val="null3"/>
            </w:pPr>
            <w:r>
              <w:rPr>
                <w:rFonts w:ascii="仿宋_GB2312" w:hAnsi="仿宋_GB2312" w:cs="仿宋_GB2312" w:eastAsia="仿宋_GB2312"/>
              </w:rPr>
              <w:t>资格证明文件采购2.docx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履行合同所必需的设备和专业技术能力的承诺；</w:t>
            </w:r>
          </w:p>
        </w:tc>
        <w:tc>
          <w:tcPr>
            <w:tcW w:type="dxa" w:w="1661"/>
          </w:tcPr>
          <w:p>
            <w:pPr>
              <w:pStyle w:val="null3"/>
            </w:pPr>
            <w:r>
              <w:rPr>
                <w:rFonts w:ascii="仿宋_GB2312" w:hAnsi="仿宋_GB2312" w:cs="仿宋_GB2312" w:eastAsia="仿宋_GB2312"/>
              </w:rPr>
              <w:t>资格证明文件采购2.docx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资格证明文件采购2.docx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单位负责人为同一人或者存在控股、管理关系的不同单位不得同时投标；</w:t>
            </w:r>
          </w:p>
        </w:tc>
        <w:tc>
          <w:tcPr>
            <w:tcW w:type="dxa" w:w="1661"/>
          </w:tcPr>
          <w:p>
            <w:pPr>
              <w:pStyle w:val="null3"/>
            </w:pPr>
            <w:r>
              <w:rPr>
                <w:rFonts w:ascii="仿宋_GB2312" w:hAnsi="仿宋_GB2312" w:cs="仿宋_GB2312" w:eastAsia="仿宋_GB2312"/>
              </w:rPr>
              <w:t>资格证明文件采购2.docx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本次项目不接受联合体投标</w:t>
            </w:r>
          </w:p>
        </w:tc>
        <w:tc>
          <w:tcPr>
            <w:tcW w:type="dxa" w:w="3322"/>
          </w:tcPr>
          <w:p>
            <w:pPr>
              <w:pStyle w:val="null3"/>
            </w:pPr>
            <w:r>
              <w:rPr>
                <w:rFonts w:ascii="仿宋_GB2312" w:hAnsi="仿宋_GB2312" w:cs="仿宋_GB2312" w:eastAsia="仿宋_GB2312"/>
              </w:rPr>
              <w:t>提供非联合体投标承诺书；</w:t>
            </w:r>
          </w:p>
        </w:tc>
        <w:tc>
          <w:tcPr>
            <w:tcW w:type="dxa" w:w="1661"/>
          </w:tcPr>
          <w:p>
            <w:pPr>
              <w:pStyle w:val="null3"/>
            </w:pPr>
            <w:r>
              <w:rPr>
                <w:rFonts w:ascii="仿宋_GB2312" w:hAnsi="仿宋_GB2312" w:cs="仿宋_GB2312" w:eastAsia="仿宋_GB2312"/>
              </w:rPr>
              <w:t>资格证明文件采购2.docx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 财库〔2020〕46号）条件的中小企业参与，提供中小企业声明函（残疾人福利性单位、监狱企业视同小、微企业）。</w:t>
            </w:r>
          </w:p>
        </w:tc>
        <w:tc>
          <w:tcPr>
            <w:tcW w:type="dxa" w:w="1661"/>
          </w:tcPr>
          <w:p>
            <w:pPr>
              <w:pStyle w:val="null3"/>
            </w:pPr>
            <w:r>
              <w:rPr>
                <w:rFonts w:ascii="仿宋_GB2312" w:hAnsi="仿宋_GB2312" w:cs="仿宋_GB2312" w:eastAsia="仿宋_GB2312"/>
              </w:rPr>
              <w:t>资格证明文件采购2.docx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报价不得超过公布的购预算或最高限价</w:t>
            </w:r>
          </w:p>
        </w:tc>
        <w:tc>
          <w:tcPr>
            <w:tcW w:type="dxa" w:w="3322"/>
          </w:tcPr>
          <w:p>
            <w:pPr>
              <w:pStyle w:val="null3"/>
            </w:pPr>
            <w:r>
              <w:rPr>
                <w:rFonts w:ascii="仿宋_GB2312" w:hAnsi="仿宋_GB2312" w:cs="仿宋_GB2312" w:eastAsia="仿宋_GB2312"/>
              </w:rPr>
              <w:t>报价不得超过公布的采购预算或最高限价，否则响应文件作为无效处理。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商务响应情况</w:t>
            </w:r>
          </w:p>
        </w:tc>
        <w:tc>
          <w:tcPr>
            <w:tcW w:type="dxa" w:w="3322"/>
          </w:tcPr>
          <w:p>
            <w:pPr>
              <w:pStyle w:val="null3"/>
            </w:pPr>
            <w:r>
              <w:rPr>
                <w:rFonts w:ascii="仿宋_GB2312" w:hAnsi="仿宋_GB2312" w:cs="仿宋_GB2312" w:eastAsia="仿宋_GB2312"/>
              </w:rPr>
              <w:t>商务响应情况，若负偏离，响应文件作为无效处理。</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拒绝政府采购领域商业贿赂承诺书</w:t>
            </w:r>
          </w:p>
        </w:tc>
        <w:tc>
          <w:tcPr>
            <w:tcW w:type="dxa" w:w="3322"/>
          </w:tcPr>
          <w:p>
            <w:pPr>
              <w:pStyle w:val="null3"/>
            </w:pPr>
            <w:r>
              <w:rPr>
                <w:rFonts w:ascii="仿宋_GB2312" w:hAnsi="仿宋_GB2312" w:cs="仿宋_GB2312" w:eastAsia="仿宋_GB2312"/>
              </w:rPr>
              <w:t>供应商提供拒绝政府采购领域商业贿赂承诺书,否则按响应文件作为无效处理。</w:t>
            </w:r>
          </w:p>
        </w:tc>
        <w:tc>
          <w:tcPr>
            <w:tcW w:type="dxa" w:w="1661"/>
          </w:tcPr>
          <w:p>
            <w:pPr>
              <w:pStyle w:val="null3"/>
            </w:pPr>
            <w:r>
              <w:rPr>
                <w:rFonts w:ascii="仿宋_GB2312" w:hAnsi="仿宋_GB2312" w:cs="仿宋_GB2312" w:eastAsia="仿宋_GB2312"/>
              </w:rPr>
              <w:t>供应商参加政府采购活动承诺书.docx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出现不符合法律、法规和竞争性磋商文件中规定的其他实质性要求的情况，响应文件作为无效处理。</w:t>
            </w:r>
          </w:p>
        </w:tc>
        <w:tc>
          <w:tcPr>
            <w:tcW w:type="dxa" w:w="1661"/>
          </w:tcPr>
          <w:p>
            <w:pPr>
              <w:pStyle w:val="null3"/>
            </w:pPr>
            <w:r>
              <w:rPr>
                <w:rFonts w:ascii="仿宋_GB2312" w:hAnsi="仿宋_GB2312" w:cs="仿宋_GB2312" w:eastAsia="仿宋_GB2312"/>
              </w:rPr>
              <w:t>其它.docx 供应商参加政府采购活动承诺书.docx 服务内容及服务邀请应答表 中小企业声明函 商务应答表 报价表 资格证明文件采购1.docx 响应文件封面 残疾人福利性单位声明函 标的清单 响应函 服务方案.docx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报价不得超过公布的购预算或最高限价</w:t>
            </w:r>
          </w:p>
        </w:tc>
        <w:tc>
          <w:tcPr>
            <w:tcW w:type="dxa" w:w="3322"/>
          </w:tcPr>
          <w:p>
            <w:pPr>
              <w:pStyle w:val="null3"/>
            </w:pPr>
            <w:r>
              <w:rPr>
                <w:rFonts w:ascii="仿宋_GB2312" w:hAnsi="仿宋_GB2312" w:cs="仿宋_GB2312" w:eastAsia="仿宋_GB2312"/>
              </w:rPr>
              <w:t>报价不得超过公布的采购预算或最高限价，否则响应文件作为无效处理。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商务响应情况</w:t>
            </w:r>
          </w:p>
        </w:tc>
        <w:tc>
          <w:tcPr>
            <w:tcW w:type="dxa" w:w="3322"/>
          </w:tcPr>
          <w:p>
            <w:pPr>
              <w:pStyle w:val="null3"/>
            </w:pPr>
            <w:r>
              <w:rPr>
                <w:rFonts w:ascii="仿宋_GB2312" w:hAnsi="仿宋_GB2312" w:cs="仿宋_GB2312" w:eastAsia="仿宋_GB2312"/>
              </w:rPr>
              <w:t>商务响应情况，若负偏离，响应文件作为无效处理。</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拒绝政府采购领域商业贿赂承诺书</w:t>
            </w:r>
          </w:p>
        </w:tc>
        <w:tc>
          <w:tcPr>
            <w:tcW w:type="dxa" w:w="3322"/>
          </w:tcPr>
          <w:p>
            <w:pPr>
              <w:pStyle w:val="null3"/>
            </w:pPr>
            <w:r>
              <w:rPr>
                <w:rFonts w:ascii="仿宋_GB2312" w:hAnsi="仿宋_GB2312" w:cs="仿宋_GB2312" w:eastAsia="仿宋_GB2312"/>
              </w:rPr>
              <w:t>供应商提供拒绝政府采购领域商业贿赂承诺书,否则按响应文件作为无效处理。</w:t>
            </w:r>
          </w:p>
        </w:tc>
        <w:tc>
          <w:tcPr>
            <w:tcW w:type="dxa" w:w="1661"/>
          </w:tcPr>
          <w:p>
            <w:pPr>
              <w:pStyle w:val="null3"/>
            </w:pPr>
            <w:r>
              <w:rPr>
                <w:rFonts w:ascii="仿宋_GB2312" w:hAnsi="仿宋_GB2312" w:cs="仿宋_GB2312" w:eastAsia="仿宋_GB2312"/>
              </w:rPr>
              <w:t>供应商参加政府采购活动承诺书.docx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出现不符合法律、法规和竞争性磋商文件中规定的其他实质性要求的情况，响应文件作为无效处理。</w:t>
            </w:r>
          </w:p>
        </w:tc>
        <w:tc>
          <w:tcPr>
            <w:tcW w:type="dxa" w:w="1661"/>
          </w:tcPr>
          <w:p>
            <w:pPr>
              <w:pStyle w:val="null3"/>
            </w:pPr>
            <w:r>
              <w:rPr>
                <w:rFonts w:ascii="仿宋_GB2312" w:hAnsi="仿宋_GB2312" w:cs="仿宋_GB2312" w:eastAsia="仿宋_GB2312"/>
              </w:rPr>
              <w:t>供应商参加政府采购活动承诺书.docx 其它.docx 服务内容及服务邀请应答表 中小企业声明函 商务应答表 报价表 响应文件封面 残疾人福利性单位声明函 服务方案 标的清单 资格证明文件采购2.docx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巡检方案</w:t>
            </w:r>
          </w:p>
        </w:tc>
        <w:tc>
          <w:tcPr>
            <w:tcW w:type="dxa" w:w="2492"/>
          </w:tcPr>
          <w:p>
            <w:pPr>
              <w:pStyle w:val="null3"/>
            </w:pPr>
            <w:r>
              <w:rPr>
                <w:rFonts w:ascii="仿宋_GB2312" w:hAnsi="仿宋_GB2312" w:cs="仿宋_GB2312" w:eastAsia="仿宋_GB2312"/>
              </w:rPr>
              <w:t>1. 包含 11 处中继站、25 处监控点、10 处广播站每月巡检顺序，且涵盖现场巡检 8 项内容（网络设备告警查询等）的，得 10 分；2. 未明确巡检顺序扣 3 分，每缺 1 项巡检内容扣 1 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实时监测方案</w:t>
            </w:r>
          </w:p>
        </w:tc>
        <w:tc>
          <w:tcPr>
            <w:tcW w:type="dxa" w:w="2492"/>
          </w:tcPr>
          <w:p>
            <w:pPr>
              <w:pStyle w:val="null3"/>
            </w:pPr>
            <w:r>
              <w:rPr>
                <w:rFonts w:ascii="仿宋_GB2312" w:hAnsi="仿宋_GB2312" w:cs="仿宋_GB2312" w:eastAsia="仿宋_GB2312"/>
              </w:rPr>
              <w:t>1. 包含设备运行状态等 13 项指标的监测方式及数据存档流程的，得 10 分；2. 每缺 1 项指标监测方式扣 0.8 分，无存档流程扣 3 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保养方案</w:t>
            </w:r>
          </w:p>
        </w:tc>
        <w:tc>
          <w:tcPr>
            <w:tcW w:type="dxa" w:w="2492"/>
          </w:tcPr>
          <w:p>
            <w:pPr>
              <w:pStyle w:val="null3"/>
            </w:pPr>
            <w:r>
              <w:rPr>
                <w:rFonts w:ascii="仿宋_GB2312" w:hAnsi="仿宋_GB2312" w:cs="仿宋_GB2312" w:eastAsia="仿宋_GB2312"/>
              </w:rPr>
              <w:t>1. 包含太阳能板清洁、设备箱体除尘、电缆接头防水处理等 3 项保养内容及操作标准的，得 10 分；2. 每缺 1 项保养内容扣 3 分，无操作标准扣 4 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故障响应方案</w:t>
            </w:r>
          </w:p>
        </w:tc>
        <w:tc>
          <w:tcPr>
            <w:tcW w:type="dxa" w:w="2492"/>
          </w:tcPr>
          <w:p>
            <w:pPr>
              <w:pStyle w:val="null3"/>
            </w:pPr>
            <w:r>
              <w:rPr>
                <w:rFonts w:ascii="仿宋_GB2312" w:hAnsi="仿宋_GB2312" w:cs="仿宋_GB2312" w:eastAsia="仿宋_GB2312"/>
              </w:rPr>
              <w:t>1. 包含 48 小时到场的交通保障措施（针对高山区域）及 8 小时修复技术步骤的，得 10 分；2. 无交通保障措施扣 5 分，缺修复技术步骤扣 5 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备件方案</w:t>
            </w:r>
          </w:p>
        </w:tc>
        <w:tc>
          <w:tcPr>
            <w:tcW w:type="dxa" w:w="2492"/>
          </w:tcPr>
          <w:p>
            <w:pPr>
              <w:pStyle w:val="null3"/>
            </w:pPr>
            <w:r>
              <w:rPr>
                <w:rFonts w:ascii="仿宋_GB2312" w:hAnsi="仿宋_GB2312" w:cs="仿宋_GB2312" w:eastAsia="仿宋_GB2312"/>
              </w:rPr>
              <w:t>1. 包含太阳能板、摄像机等 8 类核心备件清单，及存放地点、更换流程的，得 10 分；2. 每缺 1 类核心备件扣 1.2 分，无存放地点或更换流程扣 3 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电费与光缆维护方案</w:t>
            </w:r>
          </w:p>
        </w:tc>
        <w:tc>
          <w:tcPr>
            <w:tcW w:type="dxa" w:w="2492"/>
          </w:tcPr>
          <w:p>
            <w:pPr>
              <w:pStyle w:val="null3"/>
            </w:pPr>
            <w:r>
              <w:rPr>
                <w:rFonts w:ascii="仿宋_GB2312" w:hAnsi="仿宋_GB2312" w:cs="仿宋_GB2312" w:eastAsia="仿宋_GB2312"/>
              </w:rPr>
              <w:t>1. 包含陈河河道等 3 处电费清缴流程及光缆每月测试方法的，得 5 分；2. 缺 1 处电费清缴流程扣 1 分，缺光缆测试方法扣 2 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 技术人员≥5 人，其中 3 人及以上持电子与智能化相关证书，且均提供近 3 个月社保证明的，得 10分；2. 技术人员每少 1 人扣 2 分，持证人员每少 1 人扣 2 分，缺 1 人社保证明扣 1 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报告与台账方案</w:t>
            </w:r>
          </w:p>
        </w:tc>
        <w:tc>
          <w:tcPr>
            <w:tcW w:type="dxa" w:w="2492"/>
          </w:tcPr>
          <w:p>
            <w:pPr>
              <w:pStyle w:val="null3"/>
            </w:pPr>
            <w:r>
              <w:rPr>
                <w:rFonts w:ascii="仿宋_GB2312" w:hAnsi="仿宋_GB2312" w:cs="仿宋_GB2312" w:eastAsia="仿宋_GB2312"/>
              </w:rPr>
              <w:t>1. 包含月 / 季 / 年巡检报告模板（含设备运行数据等要素）及设备维修台账模板的，得 8 分；2. 每缺 1 类报告模板扣 2 分，无台账模板扣 3 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供应商提供2022年1月1日至今(以合同签订日期为准）同类项目业绩相关合同，每提供一份得2分，满分10分。备注：以上合同、证明文件须提供复印件加盖供应商公章。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技术支持方案</w:t>
            </w:r>
          </w:p>
        </w:tc>
        <w:tc>
          <w:tcPr>
            <w:tcW w:type="dxa" w:w="2492"/>
          </w:tcPr>
          <w:p>
            <w:pPr>
              <w:pStyle w:val="null3"/>
            </w:pPr>
            <w:r>
              <w:rPr>
                <w:rFonts w:ascii="仿宋_GB2312" w:hAnsi="仿宋_GB2312" w:cs="仿宋_GB2312" w:eastAsia="仿宋_GB2312"/>
              </w:rPr>
              <w:t>1. 包含系统升级、数据备份、人员培训计划（各明确频次和内容）的，得 7 分；2. 每缺 1 项计划扣 2 分，计划未明确频次或内容的每项扣 1 分，扣完为止。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响应单价合计价格最低的最终报价为磋商基准价，其价格分为满分。其他供应商的价格分统一按照下列公式计算：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运维架构方案</w:t>
            </w:r>
          </w:p>
        </w:tc>
        <w:tc>
          <w:tcPr>
            <w:tcW w:type="dxa" w:w="2492"/>
          </w:tcPr>
          <w:p>
            <w:pPr>
              <w:pStyle w:val="null3"/>
            </w:pPr>
            <w:r>
              <w:rPr>
                <w:rFonts w:ascii="仿宋_GB2312" w:hAnsi="仿宋_GB2312" w:cs="仿宋_GB2312" w:eastAsia="仿宋_GB2312"/>
              </w:rPr>
              <w:t>1. 方案明确项目部组成（含人员分工）、24 小时技术支持流程（含值班制度），得 5 分； 2. 缺项目部组成扣 3 分，缺技术支持流程扣 2 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故障响应方案</w:t>
            </w:r>
          </w:p>
        </w:tc>
        <w:tc>
          <w:tcPr>
            <w:tcW w:type="dxa" w:w="2492"/>
          </w:tcPr>
          <w:p>
            <w:pPr>
              <w:pStyle w:val="null3"/>
            </w:pPr>
            <w:r>
              <w:rPr>
                <w:rFonts w:ascii="仿宋_GB2312" w:hAnsi="仿宋_GB2312" w:cs="仿宋_GB2312" w:eastAsia="仿宋_GB2312"/>
              </w:rPr>
              <w:t>1. 方案包含 6 小时内到达现场的具体保障措施（如路线规划、备用人员安排）、24 小时排除故障的技术流程，得 6 分； 2. 缺到场保障措施扣 3 分，缺故障排除流程扣 3 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工艺运行方案</w:t>
            </w:r>
          </w:p>
        </w:tc>
        <w:tc>
          <w:tcPr>
            <w:tcW w:type="dxa" w:w="2492"/>
          </w:tcPr>
          <w:p>
            <w:pPr>
              <w:pStyle w:val="null3"/>
            </w:pPr>
            <w:r>
              <w:rPr>
                <w:rFonts w:ascii="仿宋_GB2312" w:hAnsi="仿宋_GB2312" w:cs="仿宋_GB2312" w:eastAsia="仿宋_GB2312"/>
              </w:rPr>
              <w:t>1. 方案包含运行参数调整方法（如根据水质调整 DO 值）、设备开启优化策略、活性污泥培菌具体步骤，得 8 分； 2. 每缺 1 项具体方法 / 步骤扣 3 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设备维护方案</w:t>
            </w:r>
          </w:p>
        </w:tc>
        <w:tc>
          <w:tcPr>
            <w:tcW w:type="dxa" w:w="2492"/>
          </w:tcPr>
          <w:p>
            <w:pPr>
              <w:pStyle w:val="null3"/>
            </w:pPr>
            <w:r>
              <w:rPr>
                <w:rFonts w:ascii="仿宋_GB2312" w:hAnsi="仿宋_GB2312" w:cs="仿宋_GB2312" w:eastAsia="仿宋_GB2312"/>
              </w:rPr>
              <w:t>1. 方案明确不同设备（如泵类、风机）的维修周期计划、日常保养具体操作（如润滑方式、清洁标准），得 8 分； 2. 缺维修周期计划扣 4 分，缺保养操作细节扣 4 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应急与环保方案</w:t>
            </w:r>
          </w:p>
        </w:tc>
        <w:tc>
          <w:tcPr>
            <w:tcW w:type="dxa" w:w="2492"/>
          </w:tcPr>
          <w:p>
            <w:pPr>
              <w:pStyle w:val="null3"/>
            </w:pPr>
            <w:r>
              <w:rPr>
                <w:rFonts w:ascii="仿宋_GB2312" w:hAnsi="仿宋_GB2312" w:cs="仿宋_GB2312" w:eastAsia="仿宋_GB2312"/>
              </w:rPr>
              <w:t>1. 方案包含水质超标应急处理流程（如投加药剂种类及剂量）、人员安全防护措施、臭气处理具体方法，得 8 分； 2. 每缺 1 类具体方案扣 3 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1. 方案明确专职维护人员 2 名、应急团队 3 名的岗位职责分工，且提供所有人员证书（附社保），得 7 分；2. 分工不明确扣 3 分，缺 1 人证书扣 2 分，扣完为止。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专用设备方案</w:t>
            </w:r>
          </w:p>
        </w:tc>
        <w:tc>
          <w:tcPr>
            <w:tcW w:type="dxa" w:w="2492"/>
          </w:tcPr>
          <w:p>
            <w:pPr>
              <w:pStyle w:val="null3"/>
            </w:pPr>
            <w:r>
              <w:rPr>
                <w:rFonts w:ascii="仿宋_GB2312" w:hAnsi="仿宋_GB2312" w:cs="仿宋_GB2312" w:eastAsia="仿宋_GB2312"/>
              </w:rPr>
              <w:t>1. 方案说明专用车辆型号、日常维护计划，且提供车辆权属证明（或租赁协议），得 6 分；2. 缺车辆型号 / 维护计划扣 3 分，无权属证明扣 3 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培训计划方案</w:t>
            </w:r>
          </w:p>
        </w:tc>
        <w:tc>
          <w:tcPr>
            <w:tcW w:type="dxa" w:w="2492"/>
          </w:tcPr>
          <w:p>
            <w:pPr>
              <w:pStyle w:val="null3"/>
            </w:pPr>
            <w:r>
              <w:rPr>
                <w:rFonts w:ascii="仿宋_GB2312" w:hAnsi="仿宋_GB2312" w:cs="仿宋_GB2312" w:eastAsia="仿宋_GB2312"/>
              </w:rPr>
              <w:t>1. 方案包含持证上岗培训内容（如工艺知识、安全操作）及考核机制，得 7 分；2. 缺培训内容扣 4 分，缺考核机制扣 3 分，扣完为止。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巡检检修方案</w:t>
            </w:r>
          </w:p>
        </w:tc>
        <w:tc>
          <w:tcPr>
            <w:tcW w:type="dxa" w:w="2492"/>
          </w:tcPr>
          <w:p>
            <w:pPr>
              <w:pStyle w:val="null3"/>
            </w:pPr>
            <w:r>
              <w:rPr>
                <w:rFonts w:ascii="仿宋_GB2312" w:hAnsi="仿宋_GB2312" w:cs="仿宋_GB2312" w:eastAsia="仿宋_GB2312"/>
              </w:rPr>
              <w:t>1. 方案明确每周巡检内容（如设备读数记录、管道泄漏检查）、每季度检修项目清单（如阀门校准、电气线路检测），得 5 分；2. 缺巡检内容扣 3 分，缺检修清单扣 2 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水质检测方案</w:t>
            </w:r>
          </w:p>
        </w:tc>
        <w:tc>
          <w:tcPr>
            <w:tcW w:type="dxa" w:w="2492"/>
          </w:tcPr>
          <w:p>
            <w:pPr>
              <w:pStyle w:val="null3"/>
            </w:pPr>
            <w:r>
              <w:rPr>
                <w:rFonts w:ascii="仿宋_GB2312" w:hAnsi="仿宋_GB2312" w:cs="仿宋_GB2312" w:eastAsia="仿宋_GB2312"/>
              </w:rPr>
              <w:t>1. 方案包含每月自检项目操作方法（如 COD 测定步骤）、第三方检测机构合作计划，得 6 分；2. 缺自检方法扣 3 分，缺第三方计划扣 3 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记录管理方案</w:t>
            </w:r>
          </w:p>
        </w:tc>
        <w:tc>
          <w:tcPr>
            <w:tcW w:type="dxa" w:w="2492"/>
          </w:tcPr>
          <w:p>
            <w:pPr>
              <w:pStyle w:val="null3"/>
            </w:pPr>
            <w:r>
              <w:rPr>
                <w:rFonts w:ascii="仿宋_GB2312" w:hAnsi="仿宋_GB2312" w:cs="仿宋_GB2312" w:eastAsia="仿宋_GB2312"/>
              </w:rPr>
              <w:t>1. 方案明确运行记录（如每日水质数据）、维修记录（如更换部件型号）的表单设计及存档流程，得 4 分；2. 缺表单设计扣 2 分，缺存档流程扣 2 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配合保障方案</w:t>
            </w:r>
          </w:p>
        </w:tc>
        <w:tc>
          <w:tcPr>
            <w:tcW w:type="dxa" w:w="2492"/>
          </w:tcPr>
          <w:p>
            <w:pPr>
              <w:pStyle w:val="null3"/>
            </w:pPr>
            <w:r>
              <w:rPr>
                <w:rFonts w:ascii="仿宋_GB2312" w:hAnsi="仿宋_GB2312" w:cs="仿宋_GB2312" w:eastAsia="仿宋_GB2312"/>
              </w:rPr>
              <w:t>1. 方案包含业主检查配合流程（如提前准备资料清单）、应急时人员值守安排，得 5 分；2. 缺配合流程扣 3 分，缺值守安排扣 2 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提供 2022年 1 月 1 日至今的类似污水处理运维项目合同，每提供一份得3分，满分15分。备注：以上合同、证明文件须提供复印件加盖供应商公章。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响应单价合计价格最低的最终报价为磋商基准价，其价格分为满分。其他供应商的价格分统一按照下列公式计算：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详见附件：资格证明文件采购1.docx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详见附件：其它.docx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详见附件：资格证明文件采购2.docx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详见附件：其它.docx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