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版本号：WDZB2025-116820250730002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西安市退役军人综合服务平台运维项目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WDZB2025-1168</w:t>
      </w:r>
      <w:r>
        <w:br/>
      </w:r>
      <w:r>
        <w:br/>
      </w:r>
      <w:r>
        <w:br/>
      </w:r>
    </w:p>
    <w:p>
      <w:pPr>
        <w:pStyle w:val="null3"/>
        <w:jc w:val="center"/>
        <w:outlineLvl w:val="2"/>
      </w:pPr>
      <w:r>
        <w:rPr>
          <w:rFonts w:ascii="仿宋_GB2312" w:hAnsi="仿宋_GB2312" w:cs="仿宋_GB2312" w:eastAsia="仿宋_GB2312"/>
          <w:sz w:val="28"/>
          <w:b/>
        </w:rPr>
        <w:t>西安市退役军人服务中心</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西安市退役军人服务中心</w:t>
      </w:r>
      <w:r>
        <w:rPr>
          <w:rFonts w:ascii="仿宋_GB2312" w:hAnsi="仿宋_GB2312" w:cs="仿宋_GB2312" w:eastAsia="仿宋_GB2312"/>
        </w:rPr>
        <w:t>委托，拟对</w:t>
      </w:r>
      <w:r>
        <w:rPr>
          <w:rFonts w:ascii="仿宋_GB2312" w:hAnsi="仿宋_GB2312" w:cs="仿宋_GB2312" w:eastAsia="仿宋_GB2312"/>
        </w:rPr>
        <w:t>西安市退役军人综合服务平台运维项目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WDZB2025-1168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西安市退役军人综合服务平台运维项目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西安市退役军人综合服务平台运维项目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采购包1（西安市退役军人综合服务平台运维项目）：属于专门面向中小企业采购。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1、身份证明文件：法定代表人授权书（附法定代表人身份证复印件）及被授权人身份证。（法定代表人直接参加磋商只须提供法定代表人身份证）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西安市退役军人服务中心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红旗东路888号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029-81715892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曹国霞、张静、戚洪良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采购包1：421,300.00元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6000.00元。经甲乙双方协商后决定，由中标（成交）人在领取中标（成交）通知书前向采购代理机构一次性支付。招标代理服务费支付方式：银行转账或现金方式收款单位：陕西万德招标有限公司开户银行：中国银行西安南二环支行 银行账号：103673241394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西安市退役军人服务中心</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西安市退役军人服务中心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西安市退役军人服务中心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联系人：曹国霞、张静、戚洪良</w:t>
      </w:r>
    </w:p>
    <w:p>
      <w:pPr>
        <w:pStyle w:val="null3"/>
      </w:pPr>
      <w:r>
        <w:rPr>
          <w:rFonts w:ascii="仿宋_GB2312" w:hAnsi="仿宋_GB2312" w:cs="仿宋_GB2312" w:eastAsia="仿宋_GB2312"/>
        </w:rPr>
        <w:t>联系电话：029-85561862/85561863转818</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西安市退役军人综合服务平台运维项目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421,300.00</w:t>
      </w:r>
    </w:p>
    <w:p>
      <w:pPr>
        <w:pStyle w:val="null3"/>
      </w:pPr>
      <w:r>
        <w:rPr>
          <w:rFonts w:ascii="仿宋_GB2312" w:hAnsi="仿宋_GB2312" w:cs="仿宋_GB2312" w:eastAsia="仿宋_GB2312"/>
        </w:rPr>
        <w:t>采购包最高限价（元）: 421,300.00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421,300.00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pPr>
            <w:r>
              <w:rPr>
                <w:rFonts w:ascii="仿宋_GB2312" w:hAnsi="仿宋_GB2312" w:cs="仿宋_GB2312" w:eastAsia="仿宋_GB2312"/>
                <w:sz w:val="21"/>
                <w:b/>
              </w:rPr>
              <w:t>一、项目概述</w:t>
            </w:r>
          </w:p>
          <w:p>
            <w:pPr>
              <w:pStyle w:val="null3"/>
              <w:ind w:firstLine="420"/>
            </w:pPr>
            <w:r>
              <w:rPr>
                <w:rFonts w:ascii="仿宋_GB2312" w:hAnsi="仿宋_GB2312" w:cs="仿宋_GB2312" w:eastAsia="仿宋_GB2312"/>
                <w:sz w:val="21"/>
              </w:rPr>
              <w:t>根据退役军人事务部印发的《关于加强退役军人事务信息化建设的指导意见》，为充分发挥信息化驱动引领赋能作用，推动退役军人管理保障数字化转型，促进退役军人工作高质量发展，为进一步做好退役军人服务管理工作，西安市退役军人服务中心立足我市实际，逐步推动退役军人服务工作向信息化、智能化转变，现建成</w:t>
            </w:r>
            <w:r>
              <w:rPr>
                <w:rFonts w:ascii="仿宋_GB2312" w:hAnsi="仿宋_GB2312" w:cs="仿宋_GB2312" w:eastAsia="仿宋_GB2312"/>
                <w:sz w:val="21"/>
              </w:rPr>
              <w:t>“古都退役军人”微信小程序和西安市退役军人和其他优抚对象精准信息采集系统，目前均运行于西安市政务外网中，系统均采用B／S架构开发，数据库采用MySQL7.5.2，后台数据全部已迁移至政务云，系统平稳、安全运行，一定程度上用信息手段推动退役军人工作不断提质增效，但距离信息化高质量发展还存在差距，已有系统平台需进行日常维护运转，且部分功能模块需不断优化升级。</w:t>
            </w:r>
          </w:p>
          <w:p>
            <w:pPr>
              <w:pStyle w:val="null3"/>
              <w:ind w:firstLine="420"/>
            </w:pPr>
            <w:r>
              <w:rPr>
                <w:rFonts w:ascii="仿宋_GB2312" w:hAnsi="仿宋_GB2312" w:cs="仿宋_GB2312" w:eastAsia="仿宋_GB2312"/>
                <w:sz w:val="21"/>
              </w:rPr>
              <w:t>本次采购项目旨在保障现有自建平台日常正常运行的基础上，对部分功能进行迭代升级、版本优化，建立安全、高效、可扩展的运维体系、保证各平台</w:t>
            </w:r>
            <w:r>
              <w:rPr>
                <w:rFonts w:ascii="仿宋_GB2312" w:hAnsi="仿宋_GB2312" w:cs="仿宋_GB2312" w:eastAsia="仿宋_GB2312"/>
                <w:sz w:val="21"/>
              </w:rPr>
              <w:t>7×24小时稳定运行，保障退役军人事务办理、信息查询、政策推送等核心功能的可用性，满足用户（退役军人、管理机构）的高并发访问需求，符合国家信息安全等级保护要求，确保敏感数据（如个人信息、服役记录）的保密性和完整性。同时，</w:t>
            </w:r>
            <w:r>
              <w:rPr>
                <w:rFonts w:ascii="仿宋_GB2312" w:hAnsi="仿宋_GB2312" w:cs="仿宋_GB2312" w:eastAsia="仿宋_GB2312"/>
                <w:sz w:val="21"/>
              </w:rPr>
              <w:t>按照全市数字资源一体化、</w:t>
            </w:r>
            <w:r>
              <w:rPr>
                <w:rFonts w:ascii="仿宋_GB2312" w:hAnsi="仿宋_GB2312" w:cs="仿宋_GB2312" w:eastAsia="仿宋_GB2312"/>
                <w:sz w:val="21"/>
              </w:rPr>
              <w:t>i西安适配等相关工作统一安排部署，不断整合、优化、升级平台功能。</w:t>
            </w:r>
          </w:p>
          <w:p>
            <w:pPr>
              <w:pStyle w:val="null3"/>
              <w:ind w:firstLine="422"/>
            </w:pPr>
            <w:r>
              <w:rPr>
                <w:rFonts w:ascii="仿宋_GB2312" w:hAnsi="仿宋_GB2312" w:cs="仿宋_GB2312" w:eastAsia="仿宋_GB2312"/>
                <w:sz w:val="21"/>
                <w:b/>
              </w:rPr>
              <w:t>二、建设目标</w:t>
            </w:r>
          </w:p>
          <w:p>
            <w:pPr>
              <w:pStyle w:val="null3"/>
              <w:ind w:firstLine="420"/>
            </w:pPr>
            <w:r>
              <w:rPr>
                <w:rFonts w:ascii="仿宋_GB2312" w:hAnsi="仿宋_GB2312" w:cs="仿宋_GB2312" w:eastAsia="仿宋_GB2312"/>
                <w:sz w:val="21"/>
              </w:rPr>
              <w:t>（一）</w:t>
            </w:r>
            <w:r>
              <w:rPr>
                <w:rFonts w:ascii="仿宋_GB2312" w:hAnsi="仿宋_GB2312" w:cs="仿宋_GB2312" w:eastAsia="仿宋_GB2312"/>
                <w:sz w:val="21"/>
              </w:rPr>
              <w:t>“古都退役军人”微信小程序</w:t>
            </w:r>
          </w:p>
          <w:p>
            <w:pPr>
              <w:pStyle w:val="null3"/>
              <w:ind w:firstLine="422"/>
            </w:pPr>
            <w:r>
              <w:rPr>
                <w:rFonts w:ascii="仿宋_GB2312" w:hAnsi="仿宋_GB2312" w:cs="仿宋_GB2312" w:eastAsia="仿宋_GB2312"/>
                <w:sz w:val="21"/>
                <w:b/>
              </w:rPr>
              <w:t>1.接入“i西安”平台。</w:t>
            </w:r>
            <w:r>
              <w:rPr>
                <w:rFonts w:ascii="仿宋_GB2312" w:hAnsi="仿宋_GB2312" w:cs="仿宋_GB2312" w:eastAsia="仿宋_GB2312"/>
                <w:sz w:val="21"/>
              </w:rPr>
              <w:t>“古都退役军人”微信小程序采用原生开发模式，需改造为H5页面以适应模块嵌入“i西安”平台。去年仅完成部分模块的初步改造适配，今年需进一步优化页面展示，提高用户体验，完善核心功能。</w:t>
            </w:r>
          </w:p>
          <w:p>
            <w:pPr>
              <w:pStyle w:val="null3"/>
              <w:ind w:firstLine="422"/>
            </w:pPr>
            <w:r>
              <w:rPr>
                <w:rFonts w:ascii="仿宋_GB2312" w:hAnsi="仿宋_GB2312" w:cs="仿宋_GB2312" w:eastAsia="仿宋_GB2312"/>
                <w:sz w:val="21"/>
                <w:b/>
              </w:rPr>
              <w:t>2.小程序改造、升级、页面优化。</w:t>
            </w:r>
            <w:r>
              <w:rPr>
                <w:rFonts w:ascii="仿宋_GB2312" w:hAnsi="仿宋_GB2312" w:cs="仿宋_GB2312" w:eastAsia="仿宋_GB2312"/>
                <w:sz w:val="21"/>
              </w:rPr>
              <w:t>须按照要求对小程序模块中部分功能进行调整优化。</w:t>
            </w:r>
          </w:p>
          <w:p>
            <w:pPr>
              <w:pStyle w:val="null3"/>
              <w:ind w:firstLine="420"/>
            </w:pPr>
            <w:r>
              <w:rPr>
                <w:rFonts w:ascii="仿宋_GB2312" w:hAnsi="仿宋_GB2312" w:cs="仿宋_GB2312" w:eastAsia="仿宋_GB2312"/>
                <w:sz w:val="21"/>
              </w:rPr>
              <w:t>（二）西安市退役军人和其他优抚对象精准信息采集系统</w:t>
            </w:r>
          </w:p>
          <w:p>
            <w:pPr>
              <w:pStyle w:val="null3"/>
              <w:ind w:firstLine="422"/>
            </w:pPr>
            <w:r>
              <w:rPr>
                <w:rFonts w:ascii="仿宋_GB2312" w:hAnsi="仿宋_GB2312" w:cs="仿宋_GB2312" w:eastAsia="仿宋_GB2312"/>
                <w:sz w:val="21"/>
                <w:b/>
              </w:rPr>
              <w:t>1.采集系统数据比对融合工作。</w:t>
            </w:r>
            <w:r>
              <w:rPr>
                <w:rFonts w:ascii="仿宋_GB2312" w:hAnsi="仿宋_GB2312" w:cs="仿宋_GB2312" w:eastAsia="仿宋_GB2312"/>
                <w:sz w:val="21"/>
              </w:rPr>
              <w:t>实现西安市退役军人和其他优抚对象精准信息采集系统</w:t>
            </w:r>
            <w:r>
              <w:rPr>
                <w:rFonts w:ascii="仿宋_GB2312" w:hAnsi="仿宋_GB2312" w:cs="仿宋_GB2312" w:eastAsia="仿宋_GB2312"/>
                <w:sz w:val="21"/>
              </w:rPr>
              <w:t>同局系统现有的其他业务数据库进行条目完善、数据比对，筛查出差异化数据，并能做到导入融合。适时推进与公安、民政等部门有关数据的融合共享工作。</w:t>
            </w:r>
          </w:p>
          <w:p>
            <w:pPr>
              <w:pStyle w:val="null3"/>
              <w:ind w:firstLine="422"/>
            </w:pPr>
            <w:r>
              <w:rPr>
                <w:rFonts w:ascii="仿宋_GB2312" w:hAnsi="仿宋_GB2312" w:cs="仿宋_GB2312" w:eastAsia="仿宋_GB2312"/>
                <w:sz w:val="21"/>
                <w:b/>
              </w:rPr>
              <w:t>2.采集系统数据分析使用工作。</w:t>
            </w:r>
            <w:r>
              <w:rPr>
                <w:rFonts w:ascii="仿宋_GB2312" w:hAnsi="仿宋_GB2312" w:cs="仿宋_GB2312" w:eastAsia="仿宋_GB2312"/>
                <w:sz w:val="21"/>
              </w:rPr>
              <w:t>为</w:t>
            </w:r>
            <w:r>
              <w:rPr>
                <w:rFonts w:ascii="仿宋_GB2312" w:hAnsi="仿宋_GB2312" w:cs="仿宋_GB2312" w:eastAsia="仿宋_GB2312"/>
                <w:sz w:val="21"/>
              </w:rPr>
              <w:t>进一步夯实服务保障基础</w:t>
            </w:r>
            <w:r>
              <w:rPr>
                <w:rFonts w:ascii="仿宋_GB2312" w:hAnsi="仿宋_GB2312" w:cs="仿宋_GB2312" w:eastAsia="仿宋_GB2312"/>
                <w:sz w:val="21"/>
              </w:rPr>
              <w:t>精准服务不同的对象，需优化采集系统数据分析使用功能，做到各版块指标的汇总呈现与分析利用。</w:t>
            </w:r>
          </w:p>
          <w:p>
            <w:pPr>
              <w:pStyle w:val="null3"/>
              <w:ind w:firstLine="420"/>
            </w:pPr>
            <w:r>
              <w:rPr>
                <w:rFonts w:ascii="仿宋_GB2312" w:hAnsi="仿宋_GB2312" w:cs="仿宋_GB2312" w:eastAsia="仿宋_GB2312"/>
                <w:sz w:val="21"/>
              </w:rPr>
              <w:t>（三）数据融合共享</w:t>
            </w:r>
          </w:p>
          <w:p>
            <w:pPr>
              <w:pStyle w:val="null3"/>
              <w:ind w:firstLine="422"/>
            </w:pPr>
            <w:r>
              <w:rPr>
                <w:rFonts w:ascii="仿宋_GB2312" w:hAnsi="仿宋_GB2312" w:cs="仿宋_GB2312" w:eastAsia="仿宋_GB2312"/>
                <w:sz w:val="21"/>
                <w:b/>
              </w:rPr>
              <w:t>1.接入西安市一体化数字资源管理服务中枢平台。</w:t>
            </w:r>
            <w:r>
              <w:rPr>
                <w:rFonts w:ascii="仿宋_GB2312" w:hAnsi="仿宋_GB2312" w:cs="仿宋_GB2312" w:eastAsia="仿宋_GB2312"/>
                <w:sz w:val="21"/>
              </w:rPr>
              <w:t>需配合市数据局，完成接入全市一体化数字资源管理服务中枢平台相关工作。</w:t>
            </w:r>
          </w:p>
          <w:p>
            <w:pPr>
              <w:pStyle w:val="null3"/>
              <w:ind w:firstLine="422"/>
            </w:pPr>
            <w:r>
              <w:rPr>
                <w:rFonts w:ascii="仿宋_GB2312" w:hAnsi="仿宋_GB2312" w:cs="仿宋_GB2312" w:eastAsia="仿宋_GB2312"/>
                <w:sz w:val="21"/>
                <w:b/>
              </w:rPr>
              <w:t>2.数据交互同步。</w:t>
            </w:r>
            <w:r>
              <w:rPr>
                <w:rFonts w:ascii="仿宋_GB2312" w:hAnsi="仿宋_GB2312" w:cs="仿宋_GB2312" w:eastAsia="仿宋_GB2312"/>
                <w:sz w:val="21"/>
              </w:rPr>
              <w:t>现有系统都存在独立的数据信息，为避免重复信息录入、降低重复办公成本，需对系统间的后台数据库进行升级改造，实现数据互联互通、实时同步。</w:t>
            </w:r>
          </w:p>
          <w:p>
            <w:pPr>
              <w:pStyle w:val="null3"/>
              <w:ind w:firstLine="420"/>
            </w:pPr>
            <w:r>
              <w:rPr>
                <w:rFonts w:ascii="仿宋_GB2312" w:hAnsi="仿宋_GB2312" w:cs="仿宋_GB2312" w:eastAsia="仿宋_GB2312"/>
                <w:sz w:val="21"/>
              </w:rPr>
              <w:t>（四）系统迁移</w:t>
            </w:r>
          </w:p>
          <w:p>
            <w:pPr>
              <w:pStyle w:val="null3"/>
              <w:ind w:firstLine="420"/>
            </w:pPr>
            <w:r>
              <w:rPr>
                <w:rFonts w:ascii="仿宋_GB2312" w:hAnsi="仿宋_GB2312" w:cs="仿宋_GB2312" w:eastAsia="仿宋_GB2312"/>
                <w:sz w:val="21"/>
              </w:rPr>
              <w:t>现有系统均运行于市数据局政务云中，须在年底前按要求由政务云迁移至信创云中。</w:t>
            </w:r>
          </w:p>
          <w:p>
            <w:pPr>
              <w:pStyle w:val="null3"/>
              <w:ind w:firstLine="420"/>
            </w:pPr>
            <w:r>
              <w:rPr>
                <w:rFonts w:ascii="仿宋_GB2312" w:hAnsi="仿宋_GB2312" w:cs="仿宋_GB2312" w:eastAsia="仿宋_GB2312"/>
                <w:sz w:val="21"/>
              </w:rPr>
              <w:t>（五）系统运维</w:t>
            </w:r>
          </w:p>
          <w:p>
            <w:pPr>
              <w:pStyle w:val="null3"/>
              <w:ind w:firstLine="422"/>
            </w:pPr>
            <w:r>
              <w:rPr>
                <w:rFonts w:ascii="仿宋_GB2312" w:hAnsi="仿宋_GB2312" w:cs="仿宋_GB2312" w:eastAsia="仿宋_GB2312"/>
                <w:sz w:val="21"/>
                <w:b/>
              </w:rPr>
              <w:t>1.配备专职驻场人员</w:t>
            </w:r>
          </w:p>
          <w:p>
            <w:pPr>
              <w:pStyle w:val="null3"/>
              <w:ind w:firstLine="420"/>
            </w:pPr>
            <w:r>
              <w:rPr>
                <w:rFonts w:ascii="仿宋_GB2312" w:hAnsi="仿宋_GB2312" w:cs="仿宋_GB2312" w:eastAsia="仿宋_GB2312"/>
                <w:sz w:val="21"/>
              </w:rPr>
              <w:t>需熟悉后台数据库</w:t>
            </w:r>
            <w:r>
              <w:rPr>
                <w:rFonts w:ascii="仿宋_GB2312" w:hAnsi="仿宋_GB2312" w:cs="仿宋_GB2312" w:eastAsia="仿宋_GB2312"/>
                <w:sz w:val="21"/>
              </w:rPr>
              <w:t>MySQL的日常操作与备份工作，能够第一时间处理系统发生的意外问题及全市工作人员所提出的使用问题。能够实时更新发布咨询信息，定期发布其它模块的信息资料，维护后台数据，确保系统的平稳、安全运行。能够配合采购方完成全市信息化、网络安全、</w:t>
            </w:r>
            <w:r>
              <w:rPr>
                <w:rFonts w:ascii="仿宋_GB2312" w:hAnsi="仿宋_GB2312" w:cs="仿宋_GB2312" w:eastAsia="仿宋_GB2312"/>
                <w:sz w:val="21"/>
              </w:rPr>
              <w:t>政务服务系统平台摸排整合</w:t>
            </w:r>
            <w:r>
              <w:rPr>
                <w:rFonts w:ascii="仿宋_GB2312" w:hAnsi="仿宋_GB2312" w:cs="仿宋_GB2312" w:eastAsia="仿宋_GB2312"/>
                <w:sz w:val="21"/>
              </w:rPr>
              <w:t>等其他临时交办事项。</w:t>
            </w:r>
          </w:p>
          <w:p>
            <w:pPr>
              <w:pStyle w:val="null3"/>
              <w:ind w:firstLine="422"/>
            </w:pPr>
            <w:r>
              <w:rPr>
                <w:rFonts w:ascii="仿宋_GB2312" w:hAnsi="仿宋_GB2312" w:cs="仿宋_GB2312" w:eastAsia="仿宋_GB2312"/>
                <w:sz w:val="21"/>
                <w:b/>
              </w:rPr>
              <w:t>2.</w:t>
            </w:r>
            <w:r>
              <w:rPr>
                <w:rFonts w:ascii="仿宋_GB2312" w:hAnsi="仿宋_GB2312" w:cs="仿宋_GB2312" w:eastAsia="仿宋_GB2312"/>
                <w:sz w:val="21"/>
                <w:b/>
              </w:rPr>
              <w:t>系统维护与升级</w:t>
            </w:r>
          </w:p>
          <w:p>
            <w:pPr>
              <w:pStyle w:val="null3"/>
              <w:ind w:firstLine="420"/>
            </w:pPr>
            <w:r>
              <w:rPr>
                <w:rFonts w:ascii="仿宋_GB2312" w:hAnsi="仿宋_GB2312" w:cs="仿宋_GB2312" w:eastAsia="仿宋_GB2312"/>
                <w:sz w:val="21"/>
              </w:rPr>
              <w:t>确保软件运行服务器的系统组件均为相对安全的稳定版本，避免使用存在已知漏洞的组件版本。应对每个操作行为进行记录，日志留存不少于</w:t>
            </w:r>
            <w:r>
              <w:rPr>
                <w:rFonts w:ascii="仿宋_GB2312" w:hAnsi="仿宋_GB2312" w:cs="仿宋_GB2312" w:eastAsia="仿宋_GB2312"/>
                <w:sz w:val="21"/>
              </w:rPr>
              <w:t>6个月。</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定期维护：</w:t>
            </w:r>
            <w:r>
              <w:rPr>
                <w:rFonts w:ascii="仿宋_GB2312" w:hAnsi="仿宋_GB2312" w:cs="仿宋_GB2312" w:eastAsia="仿宋_GB2312"/>
                <w:sz w:val="21"/>
              </w:rPr>
              <w:t>每月至少</w:t>
            </w:r>
            <w:r>
              <w:rPr>
                <w:rFonts w:ascii="仿宋_GB2312" w:hAnsi="仿宋_GB2312" w:cs="仿宋_GB2312" w:eastAsia="仿宋_GB2312"/>
                <w:sz w:val="21"/>
              </w:rPr>
              <w:t>1次系统安全检测</w:t>
            </w:r>
            <w:r>
              <w:rPr>
                <w:rFonts w:ascii="仿宋_GB2312" w:hAnsi="仿宋_GB2312" w:cs="仿宋_GB2312" w:eastAsia="仿宋_GB2312"/>
                <w:sz w:val="21"/>
              </w:rPr>
              <w:t>，每季度</w:t>
            </w:r>
            <w:r>
              <w:rPr>
                <w:rFonts w:ascii="仿宋_GB2312" w:hAnsi="仿宋_GB2312" w:cs="仿宋_GB2312" w:eastAsia="仿宋_GB2312"/>
                <w:sz w:val="21"/>
              </w:rPr>
              <w:t>1次安全漏洞扫描（如渗透测试）</w:t>
            </w:r>
            <w:r>
              <w:rPr>
                <w:rFonts w:ascii="仿宋_GB2312" w:hAnsi="仿宋_GB2312" w:cs="仿宋_GB2312" w:eastAsia="仿宋_GB2312"/>
                <w:sz w:val="21"/>
              </w:rPr>
              <w:t>，并按月、季出具相应的运行检查报告。根据系统各指标运行数据，定期提供系统建设意见书，优化系统运行流程，提升系统服务质量。</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版本更新：功能性升级需提前公告，并避开业务高峰期（如退役军人信息集中</w:t>
            </w:r>
            <w:r>
              <w:rPr>
                <w:rFonts w:ascii="仿宋_GB2312" w:hAnsi="仿宋_GB2312" w:cs="仿宋_GB2312" w:eastAsia="仿宋_GB2312"/>
                <w:sz w:val="21"/>
              </w:rPr>
              <w:t>采集</w:t>
            </w:r>
            <w:r>
              <w:rPr>
                <w:rFonts w:ascii="仿宋_GB2312" w:hAnsi="仿宋_GB2312" w:cs="仿宋_GB2312" w:eastAsia="仿宋_GB2312"/>
                <w:sz w:val="21"/>
              </w:rPr>
              <w:t>时段）。</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支持灰度发布，确保升级不影响用户体验。</w:t>
            </w:r>
          </w:p>
          <w:p>
            <w:pPr>
              <w:pStyle w:val="null3"/>
              <w:ind w:firstLine="422"/>
            </w:pPr>
            <w:r>
              <w:rPr>
                <w:rFonts w:ascii="仿宋_GB2312" w:hAnsi="仿宋_GB2312" w:cs="仿宋_GB2312" w:eastAsia="仿宋_GB2312"/>
                <w:sz w:val="21"/>
                <w:b/>
              </w:rPr>
              <w:t>3.数据安全与备份</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数据备份：每日增量备份，每周全量备份</w:t>
            </w:r>
            <w:r>
              <w:rPr>
                <w:rFonts w:ascii="仿宋_GB2312" w:hAnsi="仿宋_GB2312" w:cs="仿宋_GB2312" w:eastAsia="仿宋_GB2312"/>
                <w:sz w:val="21"/>
              </w:rPr>
              <w:t>；</w:t>
            </w:r>
            <w:r>
              <w:rPr>
                <w:rFonts w:ascii="仿宋_GB2312" w:hAnsi="仿宋_GB2312" w:cs="仿宋_GB2312" w:eastAsia="仿宋_GB2312"/>
                <w:sz w:val="21"/>
              </w:rPr>
              <w:t>备份数据加密存储，定期验证可恢复性。</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敏感数据保护：退役军人个人信息需加密传输（如</w:t>
            </w:r>
            <w:r>
              <w:rPr>
                <w:rFonts w:ascii="仿宋_GB2312" w:hAnsi="仿宋_GB2312" w:cs="仿宋_GB2312" w:eastAsia="仿宋_GB2312"/>
                <w:sz w:val="21"/>
              </w:rPr>
              <w:t>SSL/TLS）、存储（如AES加密</w:t>
            </w:r>
            <w:r>
              <w:rPr>
                <w:rFonts w:ascii="仿宋_GB2312" w:hAnsi="仿宋_GB2312" w:cs="仿宋_GB2312" w:eastAsia="仿宋_GB2312"/>
                <w:sz w:val="21"/>
              </w:rPr>
              <w:t>,SM4</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严格权限控制，禁止未经授权的访问或导出。</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做好网络安全与数据安全工作：做好网络安全与数据安全监测，应对发现的紧急、高危漏洞应在24小时内进行修复，对发现的中危漏洞应在48小时内进行修复，无法按时进行修复、无法进行修复的应提供有效书面风险降级解决方案。配合开展网络安全与数据安全培训，健全完善网络安全与数据安全相关制度。</w:t>
            </w:r>
          </w:p>
          <w:p>
            <w:pPr>
              <w:pStyle w:val="null3"/>
              <w:ind w:firstLine="420"/>
            </w:pPr>
            <w:r>
              <w:rPr>
                <w:rFonts w:ascii="仿宋_GB2312" w:hAnsi="仿宋_GB2312" w:cs="仿宋_GB2312" w:eastAsia="仿宋_GB2312"/>
                <w:sz w:val="21"/>
              </w:rPr>
              <w:t>（六）全市信息化建设、网络安全、政务服务系统平台摸排整合等其他临时性工作任务</w:t>
            </w:r>
          </w:p>
          <w:p>
            <w:pPr>
              <w:pStyle w:val="null3"/>
              <w:ind w:firstLine="422"/>
            </w:pPr>
            <w:r>
              <w:rPr>
                <w:rFonts w:ascii="仿宋_GB2312" w:hAnsi="仿宋_GB2312" w:cs="仿宋_GB2312" w:eastAsia="仿宋_GB2312"/>
                <w:sz w:val="21"/>
                <w:b/>
              </w:rPr>
              <w:t>三、安全</w:t>
            </w:r>
            <w:r>
              <w:rPr>
                <w:rFonts w:ascii="仿宋_GB2312" w:hAnsi="仿宋_GB2312" w:cs="仿宋_GB2312" w:eastAsia="仿宋_GB2312"/>
                <w:sz w:val="21"/>
                <w:b/>
              </w:rPr>
              <w:t>需求</w:t>
            </w:r>
          </w:p>
          <w:p>
            <w:pPr>
              <w:pStyle w:val="null3"/>
              <w:ind w:firstLine="420"/>
            </w:pPr>
            <w:r>
              <w:rPr>
                <w:rFonts w:ascii="仿宋_GB2312" w:hAnsi="仿宋_GB2312" w:cs="仿宋_GB2312" w:eastAsia="仿宋_GB2312"/>
                <w:sz w:val="21"/>
              </w:rPr>
              <w:t>（一）数据加密</w:t>
            </w:r>
          </w:p>
          <w:p>
            <w:pPr>
              <w:pStyle w:val="null3"/>
              <w:ind w:firstLine="420"/>
            </w:pPr>
            <w:r>
              <w:rPr>
                <w:rFonts w:ascii="仿宋_GB2312" w:hAnsi="仿宋_GB2312" w:cs="仿宋_GB2312" w:eastAsia="仿宋_GB2312"/>
                <w:sz w:val="21"/>
              </w:rPr>
              <w:t>为保证系统数据安全，对敏感数据做转换或加密处理，特殊数据进行不可逆加密处理。</w:t>
            </w:r>
          </w:p>
          <w:tbl>
            <w:tblPr>
              <w:tblInd w:type="dxa" w:w="135"/>
              <w:tblBorders>
                <w:top w:val="none" w:color="000000" w:sz="4"/>
                <w:left w:val="none" w:color="000000" w:sz="4"/>
                <w:bottom w:val="none" w:color="000000" w:sz="4"/>
                <w:right w:val="none" w:color="000000" w:sz="4"/>
                <w:insideH w:val="none"/>
                <w:insideV w:val="none"/>
              </w:tblBorders>
            </w:tblPr>
            <w:tblGrid>
              <w:gridCol w:w="666"/>
              <w:gridCol w:w="639"/>
              <w:gridCol w:w="1247"/>
            </w:tblGrid>
            <w:tr>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类型</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c>
                <w:tcPr>
                  <w:tcW w:type="dxa" w:w="1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方式</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时间</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转换</w:t>
                  </w:r>
                </w:p>
              </w:tc>
              <w:tc>
                <w:tcPr>
                  <w:tcW w:type="dxa" w:w="1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13位时间戳</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密码</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加密</w:t>
                  </w:r>
                </w:p>
              </w:tc>
              <w:tc>
                <w:tcPr>
                  <w:tcW w:type="dxa" w:w="1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32位MD5</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敏感数据</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加密</w:t>
                  </w:r>
                </w:p>
              </w:tc>
              <w:tc>
                <w:tcPr>
                  <w:tcW w:type="dxa" w:w="1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Base64</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加密</w:t>
                  </w:r>
                </w:p>
              </w:tc>
              <w:tc>
                <w:tcPr>
                  <w:tcW w:type="dxa" w:w="1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SM4</w:t>
                  </w:r>
                </w:p>
              </w:tc>
            </w:tr>
          </w:tbl>
          <w:p>
            <w:pPr>
              <w:pStyle w:val="null3"/>
              <w:ind w:firstLine="420"/>
            </w:pPr>
            <w:r>
              <w:rPr>
                <w:rFonts w:ascii="仿宋_GB2312" w:hAnsi="仿宋_GB2312" w:cs="仿宋_GB2312" w:eastAsia="仿宋_GB2312"/>
                <w:sz w:val="21"/>
              </w:rPr>
              <w:t>（二）通讯加密</w:t>
            </w:r>
          </w:p>
          <w:p>
            <w:pPr>
              <w:pStyle w:val="null3"/>
              <w:ind w:firstLine="420"/>
            </w:pPr>
            <w:r>
              <w:rPr>
                <w:rFonts w:ascii="仿宋_GB2312" w:hAnsi="仿宋_GB2312" w:cs="仿宋_GB2312" w:eastAsia="仿宋_GB2312"/>
                <w:sz w:val="21"/>
              </w:rPr>
              <w:t>为保证数据通讯安全，接口通讯时需要进行数据加密处理，数据须采用加密算法对通讯数据做加密处理，以保证数据的绝对安全。</w:t>
            </w:r>
          </w:p>
          <w:p>
            <w:pPr>
              <w:pStyle w:val="null3"/>
              <w:ind w:firstLine="420"/>
            </w:pPr>
            <w:r>
              <w:rPr>
                <w:rFonts w:ascii="仿宋_GB2312" w:hAnsi="仿宋_GB2312" w:cs="仿宋_GB2312" w:eastAsia="仿宋_GB2312"/>
                <w:sz w:val="21"/>
              </w:rPr>
              <w:t>（三）系统权限加密</w:t>
            </w:r>
          </w:p>
          <w:p>
            <w:pPr>
              <w:pStyle w:val="null3"/>
              <w:ind w:firstLine="420"/>
            </w:pPr>
            <w:r>
              <w:rPr>
                <w:rFonts w:ascii="仿宋_GB2312" w:hAnsi="仿宋_GB2312" w:cs="仿宋_GB2312" w:eastAsia="仿宋_GB2312"/>
                <w:sz w:val="21"/>
              </w:rPr>
              <w:t>系统权限管理应实施最小权限原则，强制失效长期不使用的账户。用户登录系统应具备双因子登录认证；对身份鉴别尝试的频率进行限制，连续多次登录失败强制锁定账户。设置口令时应要求满足强口令要求（</w:t>
            </w:r>
            <w:r>
              <w:rPr>
                <w:rFonts w:ascii="仿宋_GB2312" w:hAnsi="仿宋_GB2312" w:cs="仿宋_GB2312" w:eastAsia="仿宋_GB2312"/>
                <w:sz w:val="21"/>
              </w:rPr>
              <w:t>8位以上，数字+字母+字符组成）；对于默认的初始口令，强制用户初次登录时更改默认口令。</w:t>
            </w:r>
          </w:p>
          <w:p>
            <w:pPr>
              <w:pStyle w:val="null3"/>
              <w:ind w:firstLine="420"/>
            </w:pPr>
            <w:r>
              <w:rPr>
                <w:rFonts w:ascii="仿宋_GB2312" w:hAnsi="仿宋_GB2312" w:cs="仿宋_GB2312" w:eastAsia="仿宋_GB2312"/>
                <w:sz w:val="21"/>
              </w:rPr>
              <w:t>使用第三方组件时，应测试其完整性、安全性，确保软件供应链安全。</w:t>
            </w:r>
          </w:p>
          <w:p>
            <w:pPr>
              <w:pStyle w:val="null3"/>
              <w:ind w:firstLine="422"/>
            </w:pPr>
            <w:r>
              <w:rPr>
                <w:rFonts w:ascii="仿宋_GB2312" w:hAnsi="仿宋_GB2312" w:cs="仿宋_GB2312" w:eastAsia="仿宋_GB2312"/>
                <w:sz w:val="21"/>
                <w:b/>
              </w:rPr>
              <w:t>四、系统功能规范</w:t>
            </w:r>
          </w:p>
          <w:p>
            <w:pPr>
              <w:pStyle w:val="null3"/>
              <w:ind w:firstLine="420"/>
            </w:pPr>
            <w:r>
              <w:rPr>
                <w:rFonts w:ascii="仿宋_GB2312" w:hAnsi="仿宋_GB2312" w:cs="仿宋_GB2312" w:eastAsia="仿宋_GB2312"/>
                <w:sz w:val="21"/>
              </w:rPr>
              <w:t>（一）标准</w:t>
            </w:r>
          </w:p>
          <w:p>
            <w:pPr>
              <w:pStyle w:val="null3"/>
              <w:ind w:firstLine="420"/>
            </w:pPr>
            <w:r>
              <w:rPr>
                <w:rFonts w:ascii="仿宋_GB2312" w:hAnsi="仿宋_GB2312" w:cs="仿宋_GB2312" w:eastAsia="仿宋_GB2312"/>
                <w:sz w:val="21"/>
              </w:rPr>
              <w:t>开发文档符合国标文档，版本自选。</w:t>
            </w:r>
          </w:p>
          <w:p>
            <w:pPr>
              <w:pStyle w:val="null3"/>
              <w:ind w:firstLine="420"/>
            </w:pPr>
            <w:r>
              <w:rPr>
                <w:rFonts w:ascii="仿宋_GB2312" w:hAnsi="仿宋_GB2312" w:cs="仿宋_GB2312" w:eastAsia="仿宋_GB2312"/>
                <w:sz w:val="21"/>
              </w:rPr>
              <w:t>（二）系统要求</w:t>
            </w:r>
          </w:p>
          <w:tbl>
            <w:tblPr>
              <w:tblInd w:type="dxa" w:w="210"/>
              <w:tblBorders>
                <w:top w:val="none" w:color="000000" w:sz="4"/>
                <w:left w:val="none" w:color="000000" w:sz="4"/>
                <w:bottom w:val="none" w:color="000000" w:sz="4"/>
                <w:right w:val="none" w:color="000000" w:sz="4"/>
                <w:insideH w:val="none"/>
                <w:insideV w:val="none"/>
              </w:tblBorders>
            </w:tblPr>
            <w:tblGrid>
              <w:gridCol w:w="751"/>
              <w:gridCol w:w="1802"/>
            </w:tblGrid>
            <w:tr>
              <w:tc>
                <w:tcPr>
                  <w:tcW w:type="dxa" w:w="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1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操作系统</w:t>
                  </w:r>
                </w:p>
              </w:tc>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Windows 2012 R2及以上</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w:t>
                  </w:r>
                </w:p>
              </w:tc>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MySQL7.5.2及以上</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IIS</w:t>
                  </w:r>
                </w:p>
              </w:tc>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IIS7.5及以上</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.NET</w:t>
                  </w:r>
                </w:p>
              </w:tc>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.Net Framework 4.0及以上</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平台开发语言</w:t>
                  </w:r>
                </w:p>
              </w:tc>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系统结构</w:t>
                  </w:r>
                </w:p>
              </w:tc>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B/S</w:t>
                  </w:r>
                </w:p>
              </w:tc>
            </w:tr>
          </w:tbl>
          <w:p>
            <w:pPr>
              <w:pStyle w:val="null3"/>
              <w:ind w:firstLine="420"/>
            </w:pPr>
            <w:r>
              <w:rPr>
                <w:rFonts w:ascii="仿宋_GB2312" w:hAnsi="仿宋_GB2312" w:cs="仿宋_GB2312" w:eastAsia="仿宋_GB2312"/>
                <w:sz w:val="21"/>
              </w:rPr>
              <w:t>（三）结构上的要求</w:t>
            </w:r>
          </w:p>
          <w:p>
            <w:pPr>
              <w:pStyle w:val="null3"/>
              <w:ind w:firstLine="420"/>
            </w:pPr>
            <w:r>
              <w:rPr>
                <w:rFonts w:ascii="仿宋_GB2312" w:hAnsi="仿宋_GB2312" w:cs="仿宋_GB2312" w:eastAsia="仿宋_GB2312"/>
                <w:sz w:val="21"/>
              </w:rPr>
              <w:t>管理平台开发要求使用前后端分离技术，模块式开发。满足采购人的实际情况和未来发展要求。同时要求与现有系统进行数据整合与信息系统交互，以实现各系统的资源整合。</w:t>
            </w:r>
          </w:p>
          <w:p>
            <w:pPr>
              <w:pStyle w:val="null3"/>
              <w:ind w:firstLine="422"/>
            </w:pPr>
            <w:r>
              <w:rPr>
                <w:rFonts w:ascii="仿宋_GB2312" w:hAnsi="仿宋_GB2312" w:cs="仿宋_GB2312" w:eastAsia="仿宋_GB2312"/>
                <w:sz w:val="21"/>
                <w:b/>
              </w:rPr>
              <w:t>五、服务</w:t>
            </w:r>
            <w:r>
              <w:rPr>
                <w:rFonts w:ascii="仿宋_GB2312" w:hAnsi="仿宋_GB2312" w:cs="仿宋_GB2312" w:eastAsia="仿宋_GB2312"/>
                <w:sz w:val="21"/>
                <w:b/>
              </w:rPr>
              <w:t>要求</w:t>
            </w:r>
          </w:p>
          <w:p>
            <w:pPr>
              <w:pStyle w:val="null3"/>
              <w:ind w:firstLine="420"/>
            </w:pPr>
            <w:r>
              <w:rPr>
                <w:rFonts w:ascii="仿宋_GB2312" w:hAnsi="仿宋_GB2312" w:cs="仿宋_GB2312" w:eastAsia="仿宋_GB2312"/>
                <w:sz w:val="21"/>
              </w:rPr>
              <w:t>（一）系统设计</w:t>
            </w:r>
          </w:p>
          <w:p>
            <w:pPr>
              <w:pStyle w:val="null3"/>
              <w:ind w:firstLine="420"/>
            </w:pPr>
            <w:r>
              <w:rPr>
                <w:rFonts w:ascii="仿宋_GB2312" w:hAnsi="仿宋_GB2312" w:cs="仿宋_GB2312" w:eastAsia="仿宋_GB2312"/>
                <w:sz w:val="21"/>
              </w:rPr>
              <w:t>系统设计必须严格按照招标需求进行设计，做到设计结果符合实际工作需要。开发过程须遵循</w:t>
            </w:r>
            <w:r>
              <w:rPr>
                <w:rFonts w:ascii="仿宋_GB2312" w:hAnsi="仿宋_GB2312" w:cs="仿宋_GB2312" w:eastAsia="仿宋_GB2312"/>
                <w:sz w:val="21"/>
              </w:rPr>
              <w:t>“安全可控、全程防护、权责明确”原则，落实国家网络安全、数据安全、个人信息保护等相关法律法规。开发的系统应符合网络安全等级保护、商用密码应用、国产化要求。系统上线前应完成市数据局系统上线要求规范。</w:t>
            </w:r>
          </w:p>
          <w:p>
            <w:pPr>
              <w:pStyle w:val="null3"/>
              <w:ind w:firstLine="420"/>
            </w:pPr>
            <w:r>
              <w:rPr>
                <w:rFonts w:ascii="仿宋_GB2312" w:hAnsi="仿宋_GB2312" w:cs="仿宋_GB2312" w:eastAsia="仿宋_GB2312"/>
                <w:sz w:val="21"/>
              </w:rPr>
              <w:t>（二）设计文档</w:t>
            </w:r>
          </w:p>
          <w:p>
            <w:pPr>
              <w:pStyle w:val="null3"/>
              <w:ind w:firstLine="420"/>
            </w:pPr>
            <w:r>
              <w:rPr>
                <w:rFonts w:ascii="仿宋_GB2312" w:hAnsi="仿宋_GB2312" w:cs="仿宋_GB2312" w:eastAsia="仿宋_GB2312"/>
                <w:sz w:val="21"/>
              </w:rPr>
              <w:t>设计文档是采购人检验阶段性工作成果的依据，需要提交采购人确认并存档。文档需要经过采购人评审后，方可作为下一阶段的实施依据。</w:t>
            </w:r>
          </w:p>
          <w:p>
            <w:pPr>
              <w:pStyle w:val="null3"/>
              <w:ind w:firstLine="420"/>
            </w:pPr>
            <w:r>
              <w:rPr>
                <w:rFonts w:ascii="仿宋_GB2312" w:hAnsi="仿宋_GB2312" w:cs="仿宋_GB2312" w:eastAsia="仿宋_GB2312"/>
                <w:sz w:val="21"/>
              </w:rPr>
              <w:t>（三）项目开发要求</w:t>
            </w:r>
          </w:p>
          <w:p>
            <w:pPr>
              <w:pStyle w:val="null3"/>
              <w:ind w:firstLine="420"/>
            </w:pPr>
            <w:r>
              <w:rPr>
                <w:rFonts w:ascii="仿宋_GB2312" w:hAnsi="仿宋_GB2312" w:cs="仿宋_GB2312" w:eastAsia="仿宋_GB2312"/>
                <w:sz w:val="21"/>
              </w:rPr>
              <w:t>对项目开发的控制直接影响项目的成败，因此供应商必须派遣有经验的软件开发技术人员实施项目开发，并严格把握项目开发过程的质量控制。</w:t>
            </w:r>
          </w:p>
          <w:p>
            <w:pPr>
              <w:pStyle w:val="null3"/>
              <w:ind w:firstLine="420"/>
            </w:pPr>
            <w:r>
              <w:rPr>
                <w:rFonts w:ascii="仿宋_GB2312" w:hAnsi="仿宋_GB2312" w:cs="仿宋_GB2312" w:eastAsia="仿宋_GB2312"/>
                <w:sz w:val="21"/>
              </w:rPr>
              <w:t>（四）实施要求</w:t>
            </w:r>
          </w:p>
          <w:p>
            <w:pPr>
              <w:pStyle w:val="null3"/>
              <w:ind w:firstLine="420"/>
            </w:pPr>
            <w:r>
              <w:rPr>
                <w:rFonts w:ascii="仿宋_GB2312" w:hAnsi="仿宋_GB2312" w:cs="仿宋_GB2312" w:eastAsia="仿宋_GB2312"/>
                <w:sz w:val="21"/>
              </w:rPr>
              <w:t>项目进入实施开发阶段，供应商必须协助采购人进行全过程实施开发工作。要求供应商必须与采购人密切配合，详细了解功能需求，并一一实现。供应商必须在实施开发前制定明确、切实可行的开发计划。必须分阶段提供系统的设计文档、系统开发计划、使用手册。</w:t>
            </w:r>
          </w:p>
          <w:p>
            <w:pPr>
              <w:pStyle w:val="null3"/>
              <w:ind w:firstLine="420"/>
            </w:pPr>
            <w:r>
              <w:rPr>
                <w:rFonts w:ascii="仿宋_GB2312" w:hAnsi="仿宋_GB2312" w:cs="仿宋_GB2312" w:eastAsia="仿宋_GB2312"/>
                <w:sz w:val="21"/>
              </w:rPr>
              <w:t>（五）培训要求</w:t>
            </w:r>
          </w:p>
          <w:p>
            <w:pPr>
              <w:pStyle w:val="null3"/>
              <w:ind w:firstLine="420"/>
            </w:pPr>
            <w:r>
              <w:rPr>
                <w:rFonts w:ascii="仿宋_GB2312" w:hAnsi="仿宋_GB2312" w:cs="仿宋_GB2312" w:eastAsia="仿宋_GB2312"/>
                <w:sz w:val="21"/>
              </w:rPr>
              <w:t>供应商必须为采购人定制专门的培训计划，培训系统管理人员以及各层次使用人员。</w:t>
            </w:r>
          </w:p>
          <w:p>
            <w:pPr>
              <w:pStyle w:val="null3"/>
              <w:ind w:firstLine="420"/>
            </w:pPr>
            <w:r>
              <w:rPr>
                <w:rFonts w:ascii="仿宋_GB2312" w:hAnsi="仿宋_GB2312" w:cs="仿宋_GB2312" w:eastAsia="仿宋_GB2312"/>
                <w:sz w:val="21"/>
              </w:rPr>
              <w:t>（六）性能要求</w:t>
            </w:r>
          </w:p>
          <w:p>
            <w:pPr>
              <w:pStyle w:val="null3"/>
              <w:ind w:firstLine="420"/>
            </w:pPr>
            <w:r>
              <w:rPr>
                <w:rFonts w:ascii="仿宋_GB2312" w:hAnsi="仿宋_GB2312" w:cs="仿宋_GB2312" w:eastAsia="仿宋_GB2312"/>
                <w:sz w:val="21"/>
              </w:rPr>
              <w:t>系统正式投入使用后能稳定运行，不影响正常工作需要，系统应具有良好的稳定性能，系统运行不能出现致命性错误，不允许出现程序逻辑错误和算法错误。系统运行出现错误或输入</w:t>
            </w:r>
            <w:r>
              <w:rPr>
                <w:rFonts w:ascii="仿宋_GB2312" w:hAnsi="仿宋_GB2312" w:cs="仿宋_GB2312" w:eastAsia="仿宋_GB2312"/>
                <w:sz w:val="21"/>
              </w:rPr>
              <w:t>/输出溢出时，系统不能死机。系统不能有客户端数量的限制，插件、控件的安装和使用不得和现有的安全、防毒系统冲突。系统安全机制完备，能充分保证运行、接入的安全性、可靠性。不能产生因系统设计问题或操作失误造成数据丢失。应考虑可靠的数据备份、恢复解决方案。</w:t>
            </w:r>
          </w:p>
          <w:p>
            <w:pPr>
              <w:pStyle w:val="null3"/>
              <w:ind w:firstLine="420"/>
            </w:pPr>
            <w:r>
              <w:rPr>
                <w:rFonts w:ascii="仿宋_GB2312" w:hAnsi="仿宋_GB2312" w:cs="仿宋_GB2312" w:eastAsia="仿宋_GB2312"/>
                <w:sz w:val="21"/>
              </w:rPr>
              <w:t>（七）系统维护</w:t>
            </w:r>
          </w:p>
          <w:p>
            <w:pPr>
              <w:pStyle w:val="null3"/>
              <w:ind w:firstLine="420"/>
            </w:pPr>
            <w:r>
              <w:rPr>
                <w:rFonts w:ascii="仿宋_GB2312" w:hAnsi="仿宋_GB2312" w:cs="仿宋_GB2312" w:eastAsia="仿宋_GB2312"/>
                <w:sz w:val="21"/>
              </w:rPr>
              <w:t>供应商必须在验收合格之日开始提供一年的技术支持。供应商需要提供技术支持电话，技术支持期间如电话支持不能解决问题的，必须保证一个工作日内现场相应时间。系统操作应该简洁方便，符合日常工作习惯。系统维护只需要保证开发部分的运行稳定，修复系统运行中出现的问题。不包含功能变更和系统功能增加。</w:t>
            </w:r>
          </w:p>
          <w:p>
            <w:pPr>
              <w:pStyle w:val="null3"/>
              <w:ind w:firstLine="420"/>
            </w:pPr>
            <w:r>
              <w:rPr>
                <w:rFonts w:ascii="仿宋_GB2312" w:hAnsi="仿宋_GB2312" w:cs="仿宋_GB2312" w:eastAsia="仿宋_GB2312"/>
                <w:sz w:val="21"/>
              </w:rPr>
              <w:t>（八）代码交付</w:t>
            </w:r>
          </w:p>
          <w:p>
            <w:pPr>
              <w:pStyle w:val="null3"/>
              <w:ind w:firstLine="420"/>
            </w:pPr>
            <w:r>
              <w:rPr>
                <w:rFonts w:ascii="仿宋_GB2312" w:hAnsi="仿宋_GB2312" w:cs="仿宋_GB2312" w:eastAsia="仿宋_GB2312"/>
                <w:sz w:val="21"/>
              </w:rPr>
              <w:t>供应商必须为采购人提供全部软件的源代码。</w:t>
            </w:r>
          </w:p>
          <w:p>
            <w:pPr>
              <w:pStyle w:val="null3"/>
              <w:ind w:firstLine="420"/>
            </w:pPr>
            <w:r>
              <w:rPr>
                <w:rFonts w:ascii="仿宋_GB2312" w:hAnsi="仿宋_GB2312" w:cs="仿宋_GB2312" w:eastAsia="仿宋_GB2312"/>
                <w:sz w:val="21"/>
              </w:rPr>
              <w:t>（九）交付时间</w:t>
            </w:r>
          </w:p>
          <w:p>
            <w:pPr>
              <w:pStyle w:val="null3"/>
              <w:ind w:firstLine="420"/>
            </w:pPr>
            <w:r>
              <w:rPr>
                <w:rFonts w:ascii="仿宋_GB2312" w:hAnsi="仿宋_GB2312" w:cs="仿宋_GB2312" w:eastAsia="仿宋_GB2312"/>
                <w:sz w:val="21"/>
              </w:rPr>
              <w:t>系统迭代升级优化周期</w:t>
            </w:r>
            <w:r>
              <w:rPr>
                <w:rFonts w:ascii="仿宋_GB2312" w:hAnsi="仿宋_GB2312" w:cs="仿宋_GB2312" w:eastAsia="仿宋_GB2312"/>
                <w:sz w:val="21"/>
              </w:rPr>
              <w:t>2个月内完成，运维服务期限1年。</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合同签订后系统迭代升级优化周期2个月内完成，运维服务期限1年。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与采购人应严格按照政府采购相关法律法规以及《财政部关于进一步加强政府采购需求和履约验收管理的指导意见》（财库〔2016〕205号）、《政府采购需求管理办法》（财库〔2021〕22号）的要求进行验收。 2、本项目在成交人通知服务履约完毕后进行验收。 3、服务内容完成后先由中标人进行自检，自检合格后邀请采购人进行验收。采购人确认中标人的自检内容后，组织中标人（必要时请有关专家）进行最终验收，验收时中标人应派员参加，共同对验收结果进行确认，并承担相关责任（必要时采购人可委托具有相关资质的第三方检测机构/有专业技术能力的专家对本服务项目进行验收，由此产生的相关费用由中标人承担，需要国家法定检验部门进行检验或验收的由中标人负责联系）。 4、验收依据包括但不限于合同文本、竞争性磋商文件、响应文件。 5、验收合格后，填写验收单，并向采购人提交所有资料，以便使用单位日后管理和维护。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系统迭代升级优化完毕后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响应文件，同时，成交供应商须在发布成交公告后线下提交响应文件正本壹份、副本贰份。线下提交响应文件地点：西安市南二环西段21号华融国际商务大厦A座15层B区；联系电话：029-85561862/85561863转818；邮箱：17229130330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1-2、财务状况报告（任选其一）：(1)、2024年度经审计的财务会计报告（须包含：资产负债表、现金流量表、利润表、所有者权益变动表、财务报表附注、审计公司证照及经办注册会计师资格证书） (2)、2025年01月01日至今基本账户银行出具的资信证明（附开户行许可证或基本存款账户信息）； 1-3、税收缴纳证明：提供2025年01月至今已缴纳的至少一个月的纳税证明或完税证明，依法免税的单位应提供相关证明材料； 1-4、社会保障资金缴纳证明：提供2025年01月至今已缴纳的至少一个月的社会保障资金缴存单据或社保机构开具的社会保险参保缴费情况证明，依法不需要缴纳社会保障资金的单位应提供相关证明材料； 1-5、提供参加政府采购活动前三年内在经营活动中没有重大违法记录的书面声明；（采购人、采购代理机构将于本项目磋商截止日在‘信用中国’网站、‘中国政府采购网’网站等渠道对供应商进行信用记录查询，凡被列入失信被执行人、重大税收违法失信主体、政府采购严重违法失信行为记录名单的，视为存在不良信用记录，参与本项目的将被拒绝。） 1-6、提供具有履行本合同所必需的设备和专业技术能力的说明及承诺。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资格证明文件格式.docx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资格证明文件格式.docx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 资格证明文件格式.docx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资格证明文件格式.docx 报价表 响应文件封面 残疾人福利性单位声明函 服务方案 标的清单 供应商业绩.docx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服务内容及服务邀请应答表 商务应答表 资格证明文件格式.docx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商务应答表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商务及服务要求</w:t>
            </w:r>
          </w:p>
        </w:tc>
        <w:tc>
          <w:tcPr>
            <w:tcW w:type="dxa" w:w="3322"/>
          </w:tcPr>
          <w:p>
            <w:pPr>
              <w:pStyle w:val="null3"/>
            </w:pPr>
            <w:r>
              <w:rPr>
                <w:rFonts w:ascii="仿宋_GB2312" w:hAnsi="仿宋_GB2312" w:cs="仿宋_GB2312" w:eastAsia="仿宋_GB2312"/>
              </w:rPr>
              <w:t>商务及服务要求不得出现负偏离。</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资格证明文件格式.docx 报价表 响应文件封面 残疾人福利性单位声明函 服务方案 标的清单 供应商业绩.docx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提供服务方案。具体包括：①技术实施细则（包括但不限于：系统平台软硬件建设方案和系统实施步骤、要点，技术方案的总体框架设计、系统体系架构、应用环境、部署模式、功能需求和实施要求）；②技术服务流程；③技术手段；④工作思路及任务（包括但不限于：系统整体技术架构、逻辑结构、系统安全，方案充分考虑采购单位实际情况和项目需求）；⑤内部管理制度；⑥难点及重点分析。 注：每具有一项得4分，最多得24分。在此基础上，方案中存在缺陷的，每1项中每有1处扣1分，每项最多扣4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进度计划及培训方案</w:t>
            </w:r>
          </w:p>
        </w:tc>
        <w:tc>
          <w:tcPr>
            <w:tcW w:type="dxa" w:w="2492"/>
          </w:tcPr>
          <w:p>
            <w:pPr>
              <w:pStyle w:val="null3"/>
            </w:pPr>
            <w:r>
              <w:rPr>
                <w:rFonts w:ascii="仿宋_GB2312" w:hAnsi="仿宋_GB2312" w:cs="仿宋_GB2312" w:eastAsia="仿宋_GB2312"/>
              </w:rPr>
              <w:t>根据本项目特点，提供进度计划及培训方案。具体包括：①总体进度安排；②培训方案（包括但不限于：培训方式、时间、地点、人员以及培训内容）。 注：每具有一项得5分，最多得10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根据本项目特点，提供后续服务保障措施。具体包括：①后续配合服务计划；②针对采购人的服务要求能够及时响应，并提供完整的服务承诺；③后续服务进度保障措施；④后续服务质量保障。 注：每具有一项得5分，最多得20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安全保障及保密方案</w:t>
            </w:r>
          </w:p>
        </w:tc>
        <w:tc>
          <w:tcPr>
            <w:tcW w:type="dxa" w:w="2492"/>
          </w:tcPr>
          <w:p>
            <w:pPr>
              <w:pStyle w:val="null3"/>
            </w:pPr>
            <w:r>
              <w:rPr>
                <w:rFonts w:ascii="仿宋_GB2312" w:hAnsi="仿宋_GB2312" w:cs="仿宋_GB2312" w:eastAsia="仿宋_GB2312"/>
              </w:rPr>
              <w:t>根据本项目特点，提供安全保障及保密方案。具体包括：①安全保障制度；②保密管理制度；③特殊人员的保密措施；④应急预案及措施。 注：每具有一项得5分，最多得20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拟投入项目团队人员配备情况，包括但不限于①团队人员配置清单；②岗位职责安排；③人员管理制度。 注：每具有一项得4分，最多得12分。在此基础上，方案中存在缺陷的，每1项中每有1处扣1分，每项最多扣4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供应商具有2022年7月以来（以合同签订时间为准）同类项目业绩，响应文件中提供合同复印件加盖供应商公章，每提供一个得1分，最高得4分。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详见附件：资格证明文件格式.docx</w:t>
      </w:r>
    </w:p>
    <w:p>
      <w:pPr>
        <w:pStyle w:val="null3"/>
        <w:ind w:firstLine="960"/>
      </w:pPr>
      <w:r>
        <w:rPr>
          <w:rFonts w:ascii="仿宋_GB2312" w:hAnsi="仿宋_GB2312" w:cs="仿宋_GB2312" w:eastAsia="仿宋_GB2312"/>
        </w:rPr>
        <w:t>详见附件：供应商业绩.docx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