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版本号：ZMZB2025ZXXZ-3020250805002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医疗废物暂存间项目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ZMZB2025ZXXZ-30</w:t>
      </w:r>
      <w:r>
        <w:br/>
      </w:r>
      <w:r>
        <w:br/>
      </w:r>
      <w:r>
        <w:br/>
      </w:r>
    </w:p>
    <w:p>
      <w:pPr>
        <w:pStyle w:val="null3"/>
        <w:jc w:val="center"/>
        <w:outlineLvl w:val="2"/>
      </w:pPr>
      <w:r>
        <w:rPr>
          <w:rFonts w:ascii="仿宋_GB2312" w:hAnsi="仿宋_GB2312" w:cs="仿宋_GB2312" w:eastAsia="仿宋_GB2312"/>
          <w:sz w:val="28"/>
          <w:b/>
        </w:rPr>
        <w:t>西安市中心血站</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医疗废物暂存间项目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ZMZB2025ZXXZ-30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医疗废物暂存间项目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医疗废物暂存间项目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采购包1（医疗废物暂存间项目）：属于专门面向中小企业采购。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1、法定代表人委托授权书：非法定代表人参加投标的，须提供法定代表人委托授权书及被授权人近三个月社保缴纳证明，法定代表人参加投标时,只需提供法定代表人身份证</w:t>
      </w:r>
    </w:p>
    <w:p>
      <w:pPr>
        <w:pStyle w:val="null3"/>
      </w:pPr>
      <w:r>
        <w:rPr>
          <w:rFonts w:ascii="仿宋_GB2312" w:hAnsi="仿宋_GB2312" w:cs="仿宋_GB2312" w:eastAsia="仿宋_GB2312"/>
        </w:rPr>
        <w:t>2、施工资质：提供建筑施工总承包三级以上（含三级）资质</w:t>
      </w:r>
    </w:p>
    <w:p>
      <w:pPr>
        <w:pStyle w:val="null3"/>
      </w:pPr>
      <w:r>
        <w:rPr>
          <w:rFonts w:ascii="仿宋_GB2312" w:hAnsi="仿宋_GB2312" w:cs="仿宋_GB2312" w:eastAsia="仿宋_GB2312"/>
        </w:rPr>
        <w:t>3、安全生产许可证：提供具备有效的国家建设行政主管部门颁发的安全生产许可证</w:t>
      </w:r>
    </w:p>
    <w:p>
      <w:pPr>
        <w:pStyle w:val="null3"/>
      </w:pPr>
      <w:r>
        <w:rPr>
          <w:rFonts w:ascii="仿宋_GB2312" w:hAnsi="仿宋_GB2312" w:cs="仿宋_GB2312" w:eastAsia="仿宋_GB2312"/>
        </w:rPr>
        <w:t>4、项目经理资格：拟投入的项目经理须提供在本单位注册的建筑工程专业二级（含二级）以上注册建造师证书及有效的安全生产考核合格证，同时提供无在建承诺书</w:t>
      </w:r>
    </w:p>
    <w:p>
      <w:pPr>
        <w:pStyle w:val="null3"/>
      </w:pPr>
      <w:r>
        <w:rPr>
          <w:rFonts w:ascii="仿宋_GB2312" w:hAnsi="仿宋_GB2312" w:cs="仿宋_GB2312" w:eastAsia="仿宋_GB2312"/>
        </w:rPr>
        <w:t>5、外地企业备案：外地企业提供在“陕西省建筑市场监管与诚信信息一体化平台”上登记的基本信息界面截图</w:t>
      </w:r>
    </w:p>
    <w:p>
      <w:pPr>
        <w:pStyle w:val="null3"/>
      </w:pPr>
      <w:r>
        <w:rPr>
          <w:rFonts w:ascii="仿宋_GB2312" w:hAnsi="仿宋_GB2312" w:cs="仿宋_GB2312" w:eastAsia="仿宋_GB2312"/>
        </w:rPr>
        <w:t>6、本项目不接受由西安市中心血站职工及其亲属投资举办的企业参加投标：本项目不接受由西安市中心血站职工及其亲属投资举办的企业参加投标</w:t>
      </w:r>
    </w:p>
    <w:p>
      <w:pPr>
        <w:pStyle w:val="null3"/>
      </w:pPr>
      <w:r>
        <w:rPr>
          <w:rFonts w:ascii="仿宋_GB2312" w:hAnsi="仿宋_GB2312" w:cs="仿宋_GB2312" w:eastAsia="仿宋_GB2312"/>
        </w:rPr>
        <w:t>7、联合体：本项目不接受联合体投标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029-85212746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30万元以上的参照国家计委颁发的《招标代理服务收赛管理暂行办法》(计价格[2002]1980号)及(发改办价格[2011]534号)的规定收费标准80%计取，中标金额30万元(含)以下的参照国家计委颁发的《招标代理服务收费管理暂行办法》(计价格[2002]1980号)及(发改办价格[2011]534号)的规定收标准90%计取。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踏勘时间：2025-08-07 09:30:00</w:t>
            </w:r>
          </w:p>
          <w:p>
            <w:pPr>
              <w:pStyle w:val="null3"/>
              <w:ind w:firstLine="975"/>
            </w:pPr>
            <w:r>
              <w:rPr>
                <w:rFonts w:ascii="仿宋_GB2312" w:hAnsi="仿宋_GB2312" w:cs="仿宋_GB2312" w:eastAsia="仿宋_GB2312"/>
              </w:rPr>
              <w:t>踏勘地点：西安市中心血站门口集合</w:t>
            </w:r>
          </w:p>
          <w:p>
            <w:pPr>
              <w:pStyle w:val="null3"/>
              <w:ind w:firstLine="975"/>
            </w:pPr>
            <w:r>
              <w:rPr>
                <w:rFonts w:ascii="仿宋_GB2312" w:hAnsi="仿宋_GB2312" w:cs="仿宋_GB2312" w:eastAsia="仿宋_GB2312"/>
              </w:rPr>
              <w:t>联系人：张倩</w:t>
            </w:r>
          </w:p>
          <w:p>
            <w:pPr>
              <w:pStyle w:val="null3"/>
              <w:ind w:firstLine="975"/>
            </w:pPr>
            <w:r>
              <w:rPr>
                <w:rFonts w:ascii="仿宋_GB2312" w:hAnsi="仿宋_GB2312" w:cs="仿宋_GB2312" w:eastAsia="仿宋_GB2312"/>
              </w:rPr>
              <w:t>联系电话号码：17778966062</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西安市中心血站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按照招标文件和合同条款为准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 张倩</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397,081.67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医疗废物暂存间</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pPr>
            <w:r>
              <w:rPr>
                <w:rFonts w:ascii="仿宋_GB2312" w:hAnsi="仿宋_GB2312" w:cs="仿宋_GB2312" w:eastAsia="仿宋_GB2312"/>
              </w:rPr>
              <w:t>间</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标的名称：医疗废物暂存间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项目概况：西安市中心血站，因</w:t>
            </w:r>
            <w:r>
              <w:rPr>
                <w:rFonts w:ascii="仿宋_GB2312" w:hAnsi="仿宋_GB2312" w:cs="仿宋_GB2312" w:eastAsia="仿宋_GB2312"/>
                <w:sz w:val="21"/>
              </w:rPr>
              <w:t>现存医疗垃圾暂存点面积较小，无法有效分区，不能满足日常所</w:t>
            </w:r>
            <w:r>
              <w:rPr>
                <w:rFonts w:ascii="仿宋_GB2312" w:hAnsi="仿宋_GB2312" w:cs="仿宋_GB2312" w:eastAsia="仿宋_GB2312"/>
                <w:sz w:val="21"/>
              </w:rPr>
              <w:t>，</w:t>
            </w:r>
            <w:r>
              <w:rPr>
                <w:rFonts w:ascii="仿宋_GB2312" w:hAnsi="仿宋_GB2312" w:cs="仿宋_GB2312" w:eastAsia="仿宋_GB2312"/>
                <w:sz w:val="21"/>
              </w:rPr>
              <w:t>需要按照《医疗废物管理条例》的相关规定，结合血站实际情况建设医疗废物暂存间，并按照建设暂存间要求配备相关设施</w:t>
            </w:r>
            <w:r>
              <w:rPr>
                <w:rFonts w:ascii="仿宋_GB2312" w:hAnsi="仿宋_GB2312" w:cs="仿宋_GB2312" w:eastAsia="仿宋_GB2312"/>
                <w:sz w:val="21"/>
              </w:rPr>
              <w:t>(如:照明、通风等设施)，暂存间外设置明显警示标示，确保医疗废物的安全存放与处理，防止环境污染和疾病传播。</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工程内容：需要按照《医疗废物管理条例》的相关规定，结合血站实际情况建设医疗废物暂存间，并按照建设暂存间要求配备相关设施</w:t>
            </w:r>
            <w:r>
              <w:rPr>
                <w:rFonts w:ascii="仿宋_GB2312" w:hAnsi="仿宋_GB2312" w:cs="仿宋_GB2312" w:eastAsia="仿宋_GB2312"/>
                <w:sz w:val="21"/>
              </w:rPr>
              <w:t>(如:照明、通风等设施)，暂存间外设置明显警示标示，确保医疗废物的安全存放与处理，防止环境污染和疾病传播。</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计价依据</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（一）</w:t>
            </w:r>
            <w:r>
              <w:rPr>
                <w:rFonts w:ascii="仿宋_GB2312" w:hAnsi="仿宋_GB2312" w:cs="仿宋_GB2312" w:eastAsia="仿宋_GB2312"/>
                <w:sz w:val="21"/>
              </w:rPr>
              <w:t>陕西省现行工程量清单编制</w:t>
            </w:r>
            <w:r>
              <w:rPr>
                <w:rFonts w:ascii="仿宋_GB2312" w:hAnsi="仿宋_GB2312" w:cs="仿宋_GB2312" w:eastAsia="仿宋_GB2312"/>
                <w:sz w:val="21"/>
              </w:rPr>
              <w:t>依据</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房屋建筑与装饰工程工程量计算标准</w:t>
            </w:r>
            <w:r>
              <w:rPr>
                <w:rFonts w:ascii="仿宋_GB2312" w:hAnsi="仿宋_GB2312" w:cs="仿宋_GB2312" w:eastAsia="仿宋_GB2312"/>
                <w:sz w:val="21"/>
              </w:rPr>
              <w:t>》（</w:t>
            </w:r>
            <w:r>
              <w:rPr>
                <w:rFonts w:ascii="仿宋_GB2312" w:hAnsi="仿宋_GB2312" w:cs="仿宋_GB2312" w:eastAsia="仿宋_GB2312"/>
                <w:sz w:val="21"/>
              </w:rPr>
              <w:t>DB 61/T 5129-2025</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通用安装工程工程量计算标准</w:t>
            </w:r>
            <w:r>
              <w:rPr>
                <w:rFonts w:ascii="仿宋_GB2312" w:hAnsi="仿宋_GB2312" w:cs="仿宋_GB2312" w:eastAsia="仿宋_GB2312"/>
                <w:sz w:val="21"/>
              </w:rPr>
              <w:t>》（</w:t>
            </w:r>
            <w:r>
              <w:rPr>
                <w:rFonts w:ascii="仿宋_GB2312" w:hAnsi="仿宋_GB2312" w:cs="仿宋_GB2312" w:eastAsia="仿宋_GB2312"/>
                <w:sz w:val="21"/>
              </w:rPr>
              <w:t>DB 61/T 5130-2025</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市政工程工程量计算标准</w:t>
            </w:r>
            <w:r>
              <w:rPr>
                <w:rFonts w:ascii="仿宋_GB2312" w:hAnsi="仿宋_GB2312" w:cs="仿宋_GB2312" w:eastAsia="仿宋_GB2312"/>
                <w:sz w:val="21"/>
              </w:rPr>
              <w:t>》（</w:t>
            </w:r>
            <w:r>
              <w:rPr>
                <w:rFonts w:ascii="仿宋_GB2312" w:hAnsi="仿宋_GB2312" w:cs="仿宋_GB2312" w:eastAsia="仿宋_GB2312"/>
                <w:sz w:val="21"/>
              </w:rPr>
              <w:t>DB 61/T 5128-2025</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rPr>
              <w:t>建设主管部门颁发的计价依据</w:t>
            </w:r>
          </w:p>
          <w:p>
            <w:pPr>
              <w:pStyle w:val="null3"/>
              <w:ind w:firstLine="420"/>
              <w:jc w:val="both"/>
            </w:pPr>
            <w:r>
              <w:rPr>
                <w:rFonts w:ascii="仿宋_GB2312" w:hAnsi="仿宋_GB2312" w:cs="仿宋_GB2312" w:eastAsia="仿宋_GB2312"/>
                <w:sz w:val="21"/>
              </w:rPr>
              <w:t>1.《建设工程工程量清单计价标准》（GB/T 50500-2024）；</w:t>
            </w:r>
          </w:p>
          <w:p>
            <w:pPr>
              <w:pStyle w:val="null3"/>
              <w:ind w:firstLine="420"/>
              <w:jc w:val="both"/>
            </w:pPr>
            <w:r>
              <w:rPr>
                <w:rFonts w:ascii="仿宋_GB2312" w:hAnsi="仿宋_GB2312" w:cs="仿宋_GB2312" w:eastAsia="仿宋_GB2312"/>
                <w:sz w:val="21"/>
              </w:rPr>
              <w:t>2.《建设工程工程量清单计价标准》（DB 61/T 5126-2025）；</w:t>
            </w:r>
          </w:p>
          <w:p>
            <w:pPr>
              <w:pStyle w:val="null3"/>
              <w:jc w:val="both"/>
            </w:pPr>
            <w:r>
              <w:rPr>
                <w:rFonts w:ascii="仿宋_GB2312" w:hAnsi="仿宋_GB2312" w:cs="仿宋_GB2312" w:eastAsia="仿宋_GB2312"/>
                <w:sz w:val="21"/>
              </w:rPr>
              <w:t>3.《陕西省建设工程费用规则》（2025） 。</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施工要求</w:t>
            </w:r>
            <w:r>
              <w:rPr>
                <w:rFonts w:ascii="仿宋_GB2312" w:hAnsi="仿宋_GB2312" w:cs="仿宋_GB2312" w:eastAsia="仿宋_GB2312"/>
                <w:sz w:val="21"/>
              </w:rPr>
              <w:t>:</w:t>
            </w:r>
            <w:r>
              <w:rPr>
                <w:rFonts w:ascii="仿宋_GB2312" w:hAnsi="仿宋_GB2312" w:cs="仿宋_GB2312" w:eastAsia="仿宋_GB2312"/>
                <w:sz w:val="21"/>
              </w:rPr>
              <w:t>在施工期间，供应商必须注意院内人员安全，加强安全措施，并对施工人员进行安全教育。施工人员必须持证上岗。因采购人工作的特殊性，要求中标供应商在施工中做到封闭性施工。</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质量验收标准或规范：</w:t>
            </w:r>
          </w:p>
          <w:p>
            <w:pPr>
              <w:pStyle w:val="null3"/>
              <w:jc w:val="both"/>
            </w:pPr>
            <w:r>
              <w:rPr>
                <w:rFonts w:ascii="仿宋_GB2312" w:hAnsi="仿宋_GB2312" w:cs="仿宋_GB2312" w:eastAsia="仿宋_GB2312"/>
                <w:sz w:val="21"/>
              </w:rPr>
              <w:t>《医疗废物管理条例》（国务院令第</w:t>
            </w:r>
            <w:r>
              <w:rPr>
                <w:rFonts w:ascii="仿宋_GB2312" w:hAnsi="仿宋_GB2312" w:cs="仿宋_GB2312" w:eastAsia="仿宋_GB2312"/>
                <w:sz w:val="21"/>
              </w:rPr>
              <w:t>380号）</w:t>
            </w:r>
          </w:p>
          <w:p>
            <w:pPr>
              <w:pStyle w:val="null3"/>
              <w:jc w:val="both"/>
            </w:pPr>
            <w:r>
              <w:rPr>
                <w:rFonts w:ascii="仿宋_GB2312" w:hAnsi="仿宋_GB2312" w:cs="仿宋_GB2312" w:eastAsia="仿宋_GB2312"/>
                <w:sz w:val="21"/>
              </w:rPr>
              <w:t>《危险废物贮存污染控制标准》（</w:t>
            </w:r>
            <w:r>
              <w:rPr>
                <w:rFonts w:ascii="仿宋_GB2312" w:hAnsi="仿宋_GB2312" w:cs="仿宋_GB2312" w:eastAsia="仿宋_GB2312"/>
                <w:sz w:val="21"/>
              </w:rPr>
              <w:t>GB 18597-2023）</w:t>
            </w:r>
          </w:p>
          <w:p>
            <w:pPr>
              <w:pStyle w:val="null3"/>
              <w:jc w:val="both"/>
            </w:pPr>
            <w:r>
              <w:rPr>
                <w:rFonts w:ascii="仿宋_GB2312" w:hAnsi="仿宋_GB2312" w:cs="仿宋_GB2312" w:eastAsia="仿宋_GB2312"/>
                <w:sz w:val="21"/>
              </w:rPr>
              <w:t>《医疗卫生机构医疗废物管理办法》（卫生部令第</w:t>
            </w:r>
            <w:r>
              <w:rPr>
                <w:rFonts w:ascii="仿宋_GB2312" w:hAnsi="仿宋_GB2312" w:cs="仿宋_GB2312" w:eastAsia="仿宋_GB2312"/>
                <w:sz w:val="21"/>
              </w:rPr>
              <w:t>36号）</w:t>
            </w:r>
          </w:p>
          <w:p>
            <w:pPr>
              <w:pStyle w:val="null3"/>
              <w:jc w:val="both"/>
            </w:pPr>
            <w:r>
              <w:rPr>
                <w:rFonts w:ascii="仿宋_GB2312" w:hAnsi="仿宋_GB2312" w:cs="仿宋_GB2312" w:eastAsia="仿宋_GB2312"/>
                <w:sz w:val="21"/>
              </w:rPr>
              <w:t>《医疗废物专用包装袋、容器和警示标志标准》（</w:t>
            </w:r>
            <w:r>
              <w:rPr>
                <w:rFonts w:ascii="仿宋_GB2312" w:hAnsi="仿宋_GB2312" w:cs="仿宋_GB2312" w:eastAsia="仿宋_GB2312"/>
                <w:sz w:val="21"/>
              </w:rPr>
              <w:t>HJ 421-2008）</w:t>
            </w:r>
          </w:p>
          <w:p>
            <w:pPr>
              <w:pStyle w:val="null3"/>
              <w:jc w:val="both"/>
            </w:pPr>
            <w:r>
              <w:rPr>
                <w:rFonts w:ascii="仿宋_GB2312" w:hAnsi="仿宋_GB2312" w:cs="仿宋_GB2312" w:eastAsia="仿宋_GB2312"/>
                <w:sz w:val="21"/>
              </w:rPr>
              <w:t>《医疗废物集中处置技术规范》（环发〔</w:t>
            </w:r>
            <w:r>
              <w:rPr>
                <w:rFonts w:ascii="仿宋_GB2312" w:hAnsi="仿宋_GB2312" w:cs="仿宋_GB2312" w:eastAsia="仿宋_GB2312"/>
                <w:sz w:val="21"/>
              </w:rPr>
              <w:t xml:space="preserve">2003〕206号）  </w:t>
            </w:r>
          </w:p>
          <w:p>
            <w:pPr>
              <w:pStyle w:val="null3"/>
              <w:jc w:val="both"/>
            </w:pPr>
            <w:r>
              <w:rPr>
                <w:rFonts w:ascii="仿宋_GB2312" w:hAnsi="仿宋_GB2312" w:cs="仿宋_GB2312" w:eastAsia="仿宋_GB2312"/>
                <w:sz w:val="21"/>
              </w:rPr>
              <w:t>《建筑设计防火规范》（</w:t>
            </w:r>
            <w:r>
              <w:rPr>
                <w:rFonts w:ascii="仿宋_GB2312" w:hAnsi="仿宋_GB2312" w:cs="仿宋_GB2312" w:eastAsia="仿宋_GB2312"/>
                <w:sz w:val="21"/>
              </w:rPr>
              <w:t xml:space="preserve">GB 50016-2014）  </w:t>
            </w:r>
          </w:p>
          <w:p>
            <w:pPr>
              <w:pStyle w:val="null3"/>
              <w:jc w:val="both"/>
            </w:pPr>
            <w:r>
              <w:rPr>
                <w:rFonts w:ascii="仿宋_GB2312" w:hAnsi="仿宋_GB2312" w:cs="仿宋_GB2312" w:eastAsia="仿宋_GB2312"/>
                <w:sz w:val="21"/>
              </w:rPr>
              <w:t>《医院污水处理技术指南》（环发〔</w:t>
            </w:r>
            <w:r>
              <w:rPr>
                <w:rFonts w:ascii="仿宋_GB2312" w:hAnsi="仿宋_GB2312" w:cs="仿宋_GB2312" w:eastAsia="仿宋_GB2312"/>
                <w:sz w:val="21"/>
              </w:rPr>
              <w:t>2003〕197号）</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违约责任</w:t>
            </w:r>
            <w:r>
              <w:rPr>
                <w:rFonts w:ascii="仿宋_GB2312" w:hAnsi="仿宋_GB2312" w:cs="仿宋_GB2312" w:eastAsia="仿宋_GB2312"/>
                <w:sz w:val="21"/>
              </w:rPr>
              <w:t>：施工单位未按期合同履约完成，将对施工企业追缴已付工程款，施工单位并承担相应利息，利息标准为中国人民银行发布</w:t>
            </w:r>
            <w:r>
              <w:rPr>
                <w:rFonts w:ascii="仿宋_GB2312" w:hAnsi="仿宋_GB2312" w:cs="仿宋_GB2312" w:eastAsia="仿宋_GB2312"/>
                <w:sz w:val="21"/>
              </w:rPr>
              <w:t>LPR利率的四倍。</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工程质量达到“合格”标准，供应商必须严格按照有关施工和验收规范进行施工，符合施工质量验收标准以及国家、省、市、行业及地方标准等相关规范要求。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 xml:space="preserve"> 1.供应商在竞争性磋商响应文件中承诺的项目负责人及相应资质的专业技术、安全管理人员未经采购人书面同意，承包人不得调换和撤离，并按工程进度及时到位。采购人有权要求供应商撤换工作不负责任、管理不力、贻误工期和造成严重安全事故和违法乱纪的专业技术、安全管理人员。如项目负责人及相应资质的专业技术人员未按要求到位，视作违约，采购人有权按合同约定进行罚款直至单方面终止合同。 2.供应商须无条件接受采购人的现场检查和管理。 3.供应商在施工期间做好安全文明施工管理，必须重视安全，按规范操作；施工过程中佩戴安全帽，并保证自身及周边公民人身财产安全；严禁带电操作；确保车辆、人员、施工安全；若发生事故，由承包方负责并承担全部费用，任何责任与采购人无关。 4.施工的建筑垃圾应清运至有关部门指定的地点，做到工完场清。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一、商务条款：1、工期：自进场之日起60个日历日内竣工。2、工程地点：西安市雁塔区朱雀路407号。 3、质保期：验收合格后2年。4、本项目为交钥匙工程。5、款项结算：（1）合同签订后10个工作日内支付合同总价款40%作为预付款；（2）工程竣工、验收合格后15个工作日内支付合同总价款的60%； 注：商务条款为实质性响应条款，不允许负偏离，任意一项负偏离将按无效响应处理。二、中标供应商领取中标（成交）通知书时，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具有独立承担民事责任能力的法人、其他组织或自然人：具有独立承担民事责任能力的法人、其他组织或自然人，提供合法有效的统一社会信用代码营业执照（事业单位提供事业单位法人证书，自然人应提供身份证）； 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 3、税收缴纳证明：提供2024年6月以来任意一个月的依法缴纳税收的相关凭据（时间以税款所属时期为准），凭据应有税务机关或代收机关的公章或业务专用章。依法免税或无须缴纳税收的供应商，应提供相应证明文件； 4、社会保障资金缴纳证明：提供2024年6月以来任意一个月的社会保障资金缴存单据或社保机构开具的社会保险参保缴费情况证明。依法不需要缴纳社会保障资金的供应商应提供相关文件证明； 5、具有履行合同所必需的设备和专业技术能力的书面声明：具有履行合同所必需的设备和专业技术能力的书面声明； 6、没有重大违法记录的书面声明：参加政府采购活动前3年内在经营活动中没有重大违法记录的书面声明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非法定代表人参加投标的，须提供法定代表人委托授权书及被授权人近三个月社保缴纳证明，法定代表人参加投标时,只需提供法定代表人身份证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提供建筑施工总承包三级以上（含三级）资质</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提供具备有效的国家建设行政主管部门颁发的安全生产许可证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项目经理资格</w:t>
            </w:r>
          </w:p>
        </w:tc>
        <w:tc>
          <w:tcPr>
            <w:tcW w:type="dxa" w:w="3322"/>
          </w:tcPr>
          <w:p>
            <w:pPr>
              <w:pStyle w:val="null3"/>
            </w:pPr>
            <w:r>
              <w:rPr>
                <w:rFonts w:ascii="仿宋_GB2312" w:hAnsi="仿宋_GB2312" w:cs="仿宋_GB2312" w:eastAsia="仿宋_GB2312"/>
              </w:rPr>
              <w:t>拟投入的项目经理须提供在本单位注册的建筑工程专业二级（含二级）以上注册建造师证书及有效的安全生产考核合格证，同时提供无在建承诺书</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外地企业备案</w:t>
            </w:r>
          </w:p>
        </w:tc>
        <w:tc>
          <w:tcPr>
            <w:tcW w:type="dxa" w:w="3322"/>
          </w:tcPr>
          <w:p>
            <w:pPr>
              <w:pStyle w:val="null3"/>
            </w:pPr>
            <w:r>
              <w:rPr>
                <w:rFonts w:ascii="仿宋_GB2312" w:hAnsi="仿宋_GB2312" w:cs="仿宋_GB2312" w:eastAsia="仿宋_GB2312"/>
              </w:rPr>
              <w:t>外地企业提供在“陕西省建筑市场监管与诚信信息一体化平台”上登记的基本信息界面截图</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本项目不接受由西安市中心血站职工及其亲属投资举办的企业参加投标</w:t>
            </w:r>
          </w:p>
        </w:tc>
        <w:tc>
          <w:tcPr>
            <w:tcW w:type="dxa" w:w="3322"/>
          </w:tcPr>
          <w:p>
            <w:pPr>
              <w:pStyle w:val="null3"/>
            </w:pPr>
            <w:r>
              <w:rPr>
                <w:rFonts w:ascii="仿宋_GB2312" w:hAnsi="仿宋_GB2312" w:cs="仿宋_GB2312" w:eastAsia="仿宋_GB2312"/>
              </w:rPr>
              <w:t>本项目不接受由西安市中心血站职工及其亲属投资举办的企业参加投标</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响应报价未超过采购预算或最高限价的（合格），响应报价超过采购预算或最高限价的（不合格）</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工期满足竞争性磋商文件要求（合格），工期不满足竞争性磋商文件要求（不合格）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质保期满足竞争性磋商文件要求（合格），质保期不满足竞争性磋商文件要求（不合格）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响应文件签署、盖章符合竞争性磋商文件要求（合格），响应文件签署、盖章不符合竞争性磋商文件要求（不合格）</w:t>
            </w:r>
          </w:p>
        </w:tc>
        <w:tc>
          <w:tcPr>
            <w:tcW w:type="dxa" w:w="1661"/>
          </w:tcPr>
          <w:p>
            <w:pPr>
              <w:pStyle w:val="null3"/>
            </w:pPr>
            <w:r>
              <w:rPr>
                <w:rFonts w:ascii="仿宋_GB2312" w:hAnsi="仿宋_GB2312" w:cs="仿宋_GB2312" w:eastAsia="仿宋_GB2312"/>
              </w:rPr>
              <w:t>响应文件封面 已标价工程量清单 供应商资格要求.docx 中小企业声明函 报价函 技术服务合同条款及其他商务要求应答表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响应文件响应有效期符合竞争性磋商文件要求的（合格），响应文件无响应有效期或有效期达不到竞争性磋商文件要求的（不合格）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质量安全责任承诺书</w:t>
            </w:r>
          </w:p>
        </w:tc>
        <w:tc>
          <w:tcPr>
            <w:tcW w:type="dxa" w:w="3322"/>
          </w:tcPr>
          <w:p>
            <w:pPr>
              <w:pStyle w:val="null3"/>
            </w:pPr>
            <w:r>
              <w:rPr>
                <w:rFonts w:ascii="仿宋_GB2312" w:hAnsi="仿宋_GB2312" w:cs="仿宋_GB2312" w:eastAsia="仿宋_GB2312"/>
              </w:rPr>
              <w:t>响应文件提供了合格的质量安全责任承诺书（合格） 响应文件未提供或提供的质量安全责任承诺书不合格（不合格）</w:t>
            </w:r>
          </w:p>
        </w:tc>
        <w:tc>
          <w:tcPr>
            <w:tcW w:type="dxa" w:w="1661"/>
          </w:tcPr>
          <w:p>
            <w:pPr>
              <w:pStyle w:val="null3"/>
            </w:pPr>
            <w:r>
              <w:rPr>
                <w:rFonts w:ascii="仿宋_GB2312" w:hAnsi="仿宋_GB2312" w:cs="仿宋_GB2312" w:eastAsia="仿宋_GB2312"/>
              </w:rPr>
              <w:t>质量安全责任承诺书.docx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法律、法规和磋商文件规定的其他无效情形</w:t>
            </w:r>
          </w:p>
        </w:tc>
        <w:tc>
          <w:tcPr>
            <w:tcW w:type="dxa" w:w="3322"/>
          </w:tcPr>
          <w:p>
            <w:pPr>
              <w:pStyle w:val="null3"/>
            </w:pPr>
            <w:r>
              <w:rPr>
                <w:rFonts w:ascii="仿宋_GB2312" w:hAnsi="仿宋_GB2312" w:cs="仿宋_GB2312" w:eastAsia="仿宋_GB2312"/>
              </w:rPr>
              <w:t>未出现法律、法规和磋商文件规定的其他无效情形（合格），出现法律、法规和磋商文件规定的其他无效情形（不合格）</w:t>
            </w:r>
          </w:p>
        </w:tc>
        <w:tc>
          <w:tcPr>
            <w:tcW w:type="dxa" w:w="1661"/>
          </w:tcPr>
          <w:p>
            <w:pPr>
              <w:pStyle w:val="null3"/>
            </w:pPr>
            <w:r>
              <w:rPr>
                <w:rFonts w:ascii="仿宋_GB2312" w:hAnsi="仿宋_GB2312" w:cs="仿宋_GB2312" w:eastAsia="仿宋_GB2312"/>
              </w:rPr>
              <w:t>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针对本项目提供具体的施工组织设计，包含： ①施工方案； ②施工进度及工期保障措施； ③施工质量保证措施； ④确保安全、文明施工的技术组织措施； ⑤拟投入本项目的设备、机械、工具等； ⑥针对突发事件的应急处理方案，提供相应的预案或保证措施； ⑦施项目经理部人员组成的情况； ⑧建筑劳动力计划安排情况。 从方案全面性、科学合理性、可操作性等方面综合评价，每项内容最高得3分，未提供不得分，满分24分。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重难点及解决措施</w:t>
            </w:r>
          </w:p>
        </w:tc>
        <w:tc>
          <w:tcPr>
            <w:tcW w:type="dxa" w:w="2492"/>
          </w:tcPr>
          <w:p>
            <w:pPr>
              <w:pStyle w:val="null3"/>
            </w:pPr>
            <w:r>
              <w:rPr>
                <w:rFonts w:ascii="仿宋_GB2312" w:hAnsi="仿宋_GB2312" w:cs="仿宋_GB2312" w:eastAsia="仿宋_GB2312"/>
              </w:rPr>
              <w:t>针对本项目提供具体的重难点及解决措施，包含①对项目实施的现场情况、难易程度、历史资料匹配、成品保护等重点、难点进行分析；②对易发生质量通病、易出现安全问题、施工难度大、技术含量高的分项工程等进行说明并给出施工保障措施和专项技术方案（含主要施工工法、组织措施、检验手段等）； ③影响本项目的外在因素和可能出现的问题进行分析，并制定相关应急预案或保证措施。 从方案全面性、科学合理性、可操作性等方面综合评价，每项内容最高得3分，未提供不得分，满分9分。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重难点及解决措施.docx</w:t>
            </w:r>
          </w:p>
        </w:tc>
      </w:tr>
      <w:tr>
        <w:tc>
          <w:tcPr>
            <w:tcW w:type="dxa" w:w="831"/>
            <w:vMerge/>
          </w:tcPr>
          <w:p/>
        </w:tc>
        <w:tc>
          <w:tcPr>
            <w:tcW w:type="dxa" w:w="1661"/>
          </w:tcPr>
          <w:p>
            <w:pPr>
              <w:pStyle w:val="null3"/>
            </w:pPr>
            <w:r>
              <w:rPr>
                <w:rFonts w:ascii="仿宋_GB2312" w:hAnsi="仿宋_GB2312" w:cs="仿宋_GB2312" w:eastAsia="仿宋_GB2312"/>
              </w:rPr>
              <w:t>项目组人员组成</w:t>
            </w:r>
          </w:p>
        </w:tc>
        <w:tc>
          <w:tcPr>
            <w:tcW w:type="dxa" w:w="2492"/>
          </w:tcPr>
          <w:p>
            <w:pPr>
              <w:pStyle w:val="null3"/>
            </w:pPr>
            <w:r>
              <w:rPr>
                <w:rFonts w:ascii="仿宋_GB2312" w:hAnsi="仿宋_GB2312" w:cs="仿宋_GB2312" w:eastAsia="仿宋_GB2312"/>
              </w:rPr>
              <w:t>供应商针对本项目提供的项目人员组成，技术负责人（职称、学历、工作年限），其他项目人员构成情况（岗位设置、专业种类及能力、针对本项目的特种作业证书、有技术职称的人员比例）等进行进行赋分。 项目人员配置齐全、合理、职责划分清晰、针对性强得4分；内容一般、基本可行得2分；不提供不计分。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主要设备及材料选用情况</w:t>
            </w:r>
          </w:p>
        </w:tc>
        <w:tc>
          <w:tcPr>
            <w:tcW w:type="dxa" w:w="2492"/>
          </w:tcPr>
          <w:p>
            <w:pPr>
              <w:pStyle w:val="null3"/>
            </w:pPr>
            <w:r>
              <w:rPr>
                <w:rFonts w:ascii="仿宋_GB2312" w:hAnsi="仿宋_GB2312" w:cs="仿宋_GB2312" w:eastAsia="仿宋_GB2312"/>
              </w:rPr>
              <w:t>针对本项目提供的主要材料选用情况，包含： ①针对本项目提供拟投入主要材料清单的合理性、完整性、实用性； ②主要材料的产品选型情况、材料品质、环保要求。从方案全面性、科学合理性、可操作性等方面综合评价，每项内容最高得6分，未提供不得分，满分12分。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主要设备及材料选用情况.docx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1、供应商提供有效期内的环境管理体系认证证书、环境管理体系认证证书、职业健康安全管理体系认证证书，每提供一个计1分，最多计3分。 2、质保期承诺：质保期延长1年得1分，最高得2分。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供应商应提供小样（1、钢梁200*200*10㎜ 长20cm 2、钢梁200*150*6㎜ 长20cm 3、钢支撑200*200*10㎜ 长20cm 4、仿石材保温装饰一体板20*20cm），评审专家对所提供的小样的质量、材质、表面状态、边缘处理、 颜色与纹理、厚度，物理性能、化学性能功能特性、 工艺结构、有无异味等进行综合评审，每种样品最高计2.5分，满分10分。 注：样品递交时间同文件 递交截止时间一致（样品清单、检测报告随样品密封递交，逾期递交的不予接收） 。中标（成交）投标单位样品作为验收依据 转采购人接收，未中标（未 成交）投标单位样品采购结果公示后五个工作日内 退还，如未按规定时间内领取，招标代理机构有权自行销毁。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针对本项目提供具体的施工承诺，包含：①不拖欠农民工工资承诺；②节约成本承诺；③缴纳工人保险承诺，每项内容最高得1分，未提供不得分，满分3分。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根据提供的2022年6月1日至今类似项目合同，（以合同签订日期为准，仅限供应商本身，提供合同关键页）进行评定，每份计1分，最高计5分。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根据供应商针对本项目提供相关工程质量保修承诺进行评审，其中： ①质量保证期内的保障工作服务方案及工作计划； ②保修团队人员配备并具备相关得资格证书； ③有巡查或复查计划及质量保障措施； ④对工程维修服务响应时限有明确的承诺；每项内容最高得2分，未提供不得分，满分8分。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经初审合格的供应商，其响应报价为有效报价。 评标基准价：即满足竞争性磋商文件要求且最终响应报价最低的报价为评标基准价。 其他供应商的价格分统一按照下列公式计算。 响应报价计分=(评标基准价／响应报价)×20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详见附件：质量安全责任承诺书.docx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详见附件：重难点及解决措施.docx</w:t>
      </w:r>
    </w:p>
    <w:p>
      <w:pPr>
        <w:pStyle w:val="null3"/>
        <w:ind w:firstLine="960"/>
      </w:pPr>
      <w:r>
        <w:rPr>
          <w:rFonts w:ascii="仿宋_GB2312" w:hAnsi="仿宋_GB2312" w:cs="仿宋_GB2312" w:eastAsia="仿宋_GB2312"/>
        </w:rPr>
        <w:t>详见附件：主要设备及材料选用情况.docx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详见附件：施工承诺.docx</w:t>
      </w:r>
    </w:p>
    <w:p>
      <w:pPr>
        <w:pStyle w:val="null3"/>
        <w:ind w:firstLine="960"/>
      </w:pPr>
      <w:r>
        <w:rPr>
          <w:rFonts w:ascii="仿宋_GB2312" w:hAnsi="仿宋_GB2312" w:cs="仿宋_GB2312" w:eastAsia="仿宋_GB2312"/>
        </w:rPr>
        <w:t>详见附件：保修方案.docx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